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D73C1" w14:textId="400C989A" w:rsidR="00D87460" w:rsidRDefault="00E7550B" w:rsidP="00D7150D">
      <w:pPr>
        <w:pStyle w:val="Heading1"/>
        <w:jc w:val="right"/>
        <w:rPr>
          <w:sz w:val="48"/>
          <w:szCs w:val="48"/>
        </w:rPr>
      </w:pPr>
      <w:bookmarkStart w:id="0" w:name="_Toc153189647"/>
      <w:r>
        <w:rPr>
          <w:sz w:val="48"/>
          <w:szCs w:val="48"/>
        </w:rPr>
        <w:t xml:space="preserve">                   </w:t>
      </w:r>
      <w:r w:rsidR="00E6385A" w:rsidRPr="00D7150D">
        <w:rPr>
          <w:sz w:val="48"/>
          <w:szCs w:val="48"/>
        </w:rPr>
        <w:t xml:space="preserve">Short Form </w:t>
      </w:r>
      <w:r w:rsidR="00F117C6" w:rsidRPr="00D7150D">
        <w:rPr>
          <w:sz w:val="48"/>
          <w:szCs w:val="48"/>
        </w:rPr>
        <w:t>Work Paper</w:t>
      </w:r>
      <w:r w:rsidR="00E6385A" w:rsidRPr="00D7150D">
        <w:rPr>
          <w:sz w:val="48"/>
          <w:szCs w:val="48"/>
        </w:rPr>
        <w:t xml:space="preserve"> </w:t>
      </w:r>
      <w:r w:rsidR="00F72493">
        <w:rPr>
          <w:sz w:val="48"/>
          <w:szCs w:val="48"/>
        </w:rPr>
        <w:t>PGECOPRO114</w:t>
      </w:r>
      <w:r w:rsidR="00F72493">
        <w:rPr>
          <w:sz w:val="48"/>
          <w:szCs w:val="48"/>
        </w:rPr>
        <w:tab/>
      </w:r>
    </w:p>
    <w:p w14:paraId="11A26273" w14:textId="47FD7EA9" w:rsidR="00E6385A" w:rsidRPr="00D7150D" w:rsidRDefault="00E7550B" w:rsidP="00E7550B">
      <w:pPr>
        <w:pStyle w:val="Heading1"/>
        <w:jc w:val="right"/>
        <w:rPr>
          <w:sz w:val="48"/>
          <w:szCs w:val="48"/>
        </w:rPr>
      </w:pPr>
      <w:r>
        <w:rPr>
          <w:sz w:val="48"/>
          <w:szCs w:val="48"/>
        </w:rPr>
        <w:t>Revision 0</w:t>
      </w:r>
    </w:p>
    <w:bookmarkEnd w:id="0"/>
    <w:p w14:paraId="11A26274" w14:textId="77777777"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14:paraId="11A26275" w14:textId="77777777" w:rsidR="00E6385A" w:rsidRPr="00E6385A" w:rsidRDefault="00251156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Pacific</w:t>
      </w:r>
      <w:r w:rsidR="006875B3">
        <w:rPr>
          <w:rFonts w:cstheme="minorHAnsi"/>
          <w:b/>
          <w:sz w:val="36"/>
          <w:szCs w:val="36"/>
        </w:rPr>
        <w:t xml:space="preserve"> Gas &amp; Electric</w:t>
      </w:r>
    </w:p>
    <w:p w14:paraId="11A26276" w14:textId="77777777" w:rsidR="00E6385A" w:rsidRPr="00E6385A" w:rsidRDefault="00251156" w:rsidP="00E6385A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>Customer Energy Solutions</w:t>
      </w:r>
    </w:p>
    <w:p w14:paraId="11A26277" w14:textId="77777777" w:rsidR="00F117C6" w:rsidRPr="00500C4E" w:rsidRDefault="00F117C6" w:rsidP="00F117C6">
      <w:pPr>
        <w:rPr>
          <w:rFonts w:cstheme="minorHAnsi"/>
        </w:rPr>
      </w:pPr>
    </w:p>
    <w:p w14:paraId="11A26278" w14:textId="77777777"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11A26279" w14:textId="77777777" w:rsidR="00F117C6" w:rsidRPr="00500C4E" w:rsidRDefault="00F117C6" w:rsidP="00F117C6">
      <w:pPr>
        <w:rPr>
          <w:rFonts w:cstheme="minorHAnsi"/>
        </w:rPr>
      </w:pPr>
    </w:p>
    <w:p w14:paraId="11A2627A" w14:textId="77777777" w:rsidR="00F117C6" w:rsidRPr="00500C4E" w:rsidRDefault="00F117C6" w:rsidP="00F117C6">
      <w:pPr>
        <w:rPr>
          <w:rFonts w:cstheme="minorHAnsi"/>
        </w:rPr>
      </w:pPr>
    </w:p>
    <w:p w14:paraId="11A2627B" w14:textId="77777777" w:rsidR="00F117C6" w:rsidRPr="00500C4E" w:rsidRDefault="00F117C6" w:rsidP="00F117C6">
      <w:pPr>
        <w:rPr>
          <w:rFonts w:cstheme="minorHAnsi"/>
        </w:rPr>
      </w:pPr>
    </w:p>
    <w:p w14:paraId="11A2627C" w14:textId="77777777" w:rsidR="00F117C6" w:rsidRPr="00500C4E" w:rsidRDefault="00F117C6" w:rsidP="00F117C6">
      <w:pPr>
        <w:rPr>
          <w:rFonts w:cstheme="minorHAnsi"/>
        </w:rPr>
      </w:pPr>
    </w:p>
    <w:p w14:paraId="11A2627D" w14:textId="77777777" w:rsidR="00F117C6" w:rsidRPr="00500C4E" w:rsidRDefault="00F117C6" w:rsidP="00F117C6">
      <w:pPr>
        <w:rPr>
          <w:rFonts w:cstheme="minorHAnsi"/>
        </w:rPr>
      </w:pPr>
    </w:p>
    <w:p w14:paraId="11A2627E" w14:textId="4ADC0CAE" w:rsidR="000E19CA" w:rsidRDefault="00D87460" w:rsidP="00884B9C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72"/>
          <w:szCs w:val="72"/>
        </w:rPr>
        <w:t>Commercial Steam Traps</w:t>
      </w:r>
    </w:p>
    <w:p w14:paraId="11A2627F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1A26280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1A26281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1A26282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1A26283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1A26284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1A26285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1A26286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1A26287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1A26288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1A26289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1A2628A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1A2628B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1A2628C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1A2628D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1A2628E" w14:textId="77777777" w:rsidR="00E372B8" w:rsidRDefault="00E372B8" w:rsidP="000E19CA">
      <w:pPr>
        <w:jc w:val="right"/>
        <w:rPr>
          <w:rFonts w:cstheme="minorHAnsi"/>
          <w:b/>
          <w:sz w:val="28"/>
          <w:szCs w:val="28"/>
        </w:rPr>
      </w:pPr>
    </w:p>
    <w:p w14:paraId="11A2628F" w14:textId="77777777" w:rsidR="00E372B8" w:rsidRDefault="00E372B8" w:rsidP="00241A1F">
      <w:pPr>
        <w:jc w:val="right"/>
        <w:rPr>
          <w:rFonts w:cstheme="minorHAnsi"/>
          <w:b/>
          <w:sz w:val="28"/>
          <w:szCs w:val="28"/>
        </w:rPr>
      </w:pPr>
    </w:p>
    <w:p w14:paraId="11A26290" w14:textId="77777777" w:rsidR="00E372B8" w:rsidRPr="000F72EF" w:rsidRDefault="00E372B8" w:rsidP="00241A1F">
      <w:pPr>
        <w:jc w:val="right"/>
        <w:rPr>
          <w:rFonts w:cstheme="minorHAnsi"/>
          <w:b/>
          <w:sz w:val="72"/>
          <w:szCs w:val="72"/>
        </w:rPr>
        <w:sectPr w:rsidR="00E372B8" w:rsidRPr="000F72EF" w:rsidSect="00241A1F">
          <w:footerReference w:type="defaul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11A26291" w14:textId="1BFC41C9" w:rsidR="00FE520B" w:rsidRDefault="00435DC7" w:rsidP="00FE520B">
      <w:pPr>
        <w:pStyle w:val="Heading1"/>
      </w:pPr>
      <w:r>
        <w:lastRenderedPageBreak/>
        <w:t>P</w:t>
      </w:r>
      <w:r w:rsidR="0059117D">
        <w:t xml:space="preserve">G&amp;E </w:t>
      </w:r>
      <w:r w:rsidR="00323C28">
        <w:t>C</w:t>
      </w:r>
      <w:r w:rsidR="00443C38">
        <w:t>ommercial Steam Traps</w:t>
      </w:r>
    </w:p>
    <w:p w14:paraId="11A26292" w14:textId="77777777" w:rsidR="00413EF4" w:rsidRDefault="00413EF4" w:rsidP="00413EF4">
      <w:pPr>
        <w:pStyle w:val="Heading2"/>
      </w:pPr>
      <w:r>
        <w:t>Introduction</w:t>
      </w:r>
    </w:p>
    <w:p w14:paraId="11A26293" w14:textId="25657F6C" w:rsidR="005E18A1" w:rsidRDefault="00C23CAB" w:rsidP="003E23F0">
      <w:r>
        <w:t>This short form workpaper documents (</w:t>
      </w:r>
      <w:r w:rsidR="008E5CD5">
        <w:t>WP</w:t>
      </w:r>
      <w:r>
        <w:t xml:space="preserve">) the values adopted from </w:t>
      </w:r>
      <w:r w:rsidR="00282AAF">
        <w:t>SCG</w:t>
      </w:r>
      <w:r>
        <w:t xml:space="preserve">’s </w:t>
      </w:r>
      <w:r w:rsidR="008E5CD5">
        <w:t>WP</w:t>
      </w:r>
      <w:r>
        <w:t xml:space="preserve"> entitled “</w:t>
      </w:r>
      <w:r w:rsidR="002B7A10">
        <w:t xml:space="preserve">Deemed Program for </w:t>
      </w:r>
      <w:r w:rsidR="009269CE">
        <w:t xml:space="preserve">Commercial </w:t>
      </w:r>
      <w:r w:rsidR="0093459A">
        <w:t xml:space="preserve">Steam </w:t>
      </w:r>
      <w:r w:rsidR="00683342">
        <w:t>Tra</w:t>
      </w:r>
      <w:r w:rsidR="002B7A10">
        <w:t>p</w:t>
      </w:r>
      <w:r w:rsidR="007A2F86">
        <w:t>s</w:t>
      </w:r>
      <w:r w:rsidR="0093459A">
        <w:t xml:space="preserve">” </w:t>
      </w:r>
      <w:r w:rsidR="00713B5F">
        <w:t>(</w:t>
      </w:r>
      <w:r w:rsidR="00D21A97">
        <w:t>SCGWP100310A_Rev10</w:t>
      </w:r>
      <w:r w:rsidR="002B7A10">
        <w:t>_CommercialSteamTraps</w:t>
      </w:r>
      <w:r w:rsidR="004016D3" w:rsidRPr="004016D3">
        <w:t>.docx</w:t>
      </w:r>
      <w:r w:rsidR="006875B3">
        <w:t>)</w:t>
      </w:r>
      <w:r w:rsidR="00454489">
        <w:t>. P</w:t>
      </w:r>
      <w:r w:rsidR="005E18A1">
        <w:t xml:space="preserve">G&amp;E </w:t>
      </w:r>
      <w:r w:rsidR="00555671">
        <w:t>a</w:t>
      </w:r>
      <w:r w:rsidR="005E18A1">
        <w:t>d</w:t>
      </w:r>
      <w:r w:rsidR="00555671">
        <w:t>op</w:t>
      </w:r>
      <w:r w:rsidR="007A2F86">
        <w:t xml:space="preserve">ts </w:t>
      </w:r>
      <w:proofErr w:type="gramStart"/>
      <w:r w:rsidR="007A2F86">
        <w:t xml:space="preserve">all </w:t>
      </w:r>
      <w:r w:rsidR="005E18A1">
        <w:t>of</w:t>
      </w:r>
      <w:proofErr w:type="gramEnd"/>
      <w:r w:rsidR="005E18A1">
        <w:t xml:space="preserve"> the values in </w:t>
      </w:r>
      <w:r w:rsidR="00D21A97">
        <w:t xml:space="preserve">SCGWP100310A Rev 10 </w:t>
      </w:r>
      <w:r w:rsidR="00D21A97" w:rsidRPr="004016D3">
        <w:t>Deemed</w:t>
      </w:r>
      <w:r w:rsidR="002B7A10">
        <w:t xml:space="preserve"> Program for Commercial Steam Trap</w:t>
      </w:r>
      <w:r w:rsidR="007A2F86">
        <w:t>s</w:t>
      </w:r>
      <w:r w:rsidR="005E18A1">
        <w:t>, with</w:t>
      </w:r>
      <w:r w:rsidR="009269CE">
        <w:t xml:space="preserve"> </w:t>
      </w:r>
      <w:r w:rsidR="001F1328">
        <w:t xml:space="preserve">some </w:t>
      </w:r>
      <w:r w:rsidR="00434E3C">
        <w:t xml:space="preserve">exceptions </w:t>
      </w:r>
      <w:bookmarkStart w:id="1" w:name="_Hlk2587014"/>
      <w:r w:rsidR="00434E3C">
        <w:t>(SCG Workpaper do not specify any measures codes, PG&amp;E has selected to offer only one measure code – PR087)</w:t>
      </w:r>
    </w:p>
    <w:bookmarkEnd w:id="1"/>
    <w:p w14:paraId="11A26294" w14:textId="77777777" w:rsidR="005E18A1" w:rsidRDefault="005E18A1" w:rsidP="0093459A"/>
    <w:p w14:paraId="11A26295" w14:textId="77777777" w:rsidR="00B57F32" w:rsidRDefault="00B57F32" w:rsidP="00B57F32">
      <w:pPr>
        <w:pStyle w:val="Heading2"/>
      </w:pPr>
      <w:r w:rsidRPr="005734A4">
        <w:t>Document Revision History</w:t>
      </w:r>
      <w:r w:rsidRPr="0025216C">
        <w:t xml:space="preserve"> </w:t>
      </w:r>
    </w:p>
    <w:tbl>
      <w:tblPr>
        <w:tblStyle w:val="TableGrid11"/>
        <w:tblW w:w="4991" w:type="pct"/>
        <w:tblLayout w:type="fixed"/>
        <w:tblLook w:val="01E0" w:firstRow="1" w:lastRow="1" w:firstColumn="1" w:lastColumn="1" w:noHBand="0" w:noVBand="0"/>
      </w:tblPr>
      <w:tblGrid>
        <w:gridCol w:w="641"/>
        <w:gridCol w:w="1289"/>
        <w:gridCol w:w="1506"/>
        <w:gridCol w:w="6123"/>
      </w:tblGrid>
      <w:tr w:rsidR="00E52110" w:rsidRPr="00500C4E" w14:paraId="11A2629A" w14:textId="77777777" w:rsidTr="000A075B">
        <w:trPr>
          <w:trHeight w:val="20"/>
        </w:trPr>
        <w:tc>
          <w:tcPr>
            <w:tcW w:w="335" w:type="pct"/>
            <w:shd w:val="clear" w:color="auto" w:fill="D9D9D9" w:themeFill="background1" w:themeFillShade="D9"/>
          </w:tcPr>
          <w:p w14:paraId="11A26296" w14:textId="77777777" w:rsidR="00B57F32" w:rsidRPr="000E2B6B" w:rsidRDefault="00B57F32" w:rsidP="002A7EFE">
            <w:pPr>
              <w:rPr>
                <w:bCs/>
              </w:rPr>
            </w:pPr>
            <w:r w:rsidRPr="000E2B6B">
              <w:t>Rev</w:t>
            </w:r>
          </w:p>
        </w:tc>
        <w:tc>
          <w:tcPr>
            <w:tcW w:w="674" w:type="pct"/>
            <w:shd w:val="clear" w:color="auto" w:fill="D9D9D9" w:themeFill="background1" w:themeFillShade="D9"/>
          </w:tcPr>
          <w:p w14:paraId="11A26297" w14:textId="77777777" w:rsidR="00B57F32" w:rsidRPr="000E2B6B" w:rsidRDefault="00B57F32" w:rsidP="002A7EFE">
            <w:pPr>
              <w:rPr>
                <w:bCs/>
              </w:rPr>
            </w:pPr>
            <w:r w:rsidRPr="000E2B6B">
              <w:t>Date</w:t>
            </w:r>
          </w:p>
        </w:tc>
        <w:tc>
          <w:tcPr>
            <w:tcW w:w="788" w:type="pct"/>
            <w:shd w:val="clear" w:color="auto" w:fill="D9D9D9" w:themeFill="background1" w:themeFillShade="D9"/>
          </w:tcPr>
          <w:p w14:paraId="11A26298" w14:textId="77777777" w:rsidR="00B57F32" w:rsidRPr="000E2B6B" w:rsidRDefault="00B57F32" w:rsidP="002A7EFE">
            <w:pPr>
              <w:rPr>
                <w:bCs/>
              </w:rPr>
            </w:pPr>
            <w:r w:rsidRPr="000E2B6B">
              <w:t>Author</w:t>
            </w:r>
          </w:p>
        </w:tc>
        <w:tc>
          <w:tcPr>
            <w:tcW w:w="3202" w:type="pct"/>
            <w:shd w:val="clear" w:color="auto" w:fill="D9D9D9" w:themeFill="background1" w:themeFillShade="D9"/>
          </w:tcPr>
          <w:p w14:paraId="11A26299" w14:textId="77777777" w:rsidR="00B57F32" w:rsidRPr="000E2B6B" w:rsidRDefault="00B57F32" w:rsidP="002A7EFE">
            <w:pPr>
              <w:rPr>
                <w:bCs/>
              </w:rPr>
            </w:pPr>
            <w:r w:rsidRPr="000E2B6B">
              <w:t>Summary of Changes</w:t>
            </w:r>
          </w:p>
        </w:tc>
      </w:tr>
      <w:tr w:rsidR="00E52110" w:rsidRPr="00500C4E" w14:paraId="11A262A0" w14:textId="77777777" w:rsidTr="000A075B">
        <w:trPr>
          <w:trHeight w:val="20"/>
        </w:trPr>
        <w:tc>
          <w:tcPr>
            <w:tcW w:w="335" w:type="pct"/>
          </w:tcPr>
          <w:p w14:paraId="11A2629B" w14:textId="77777777" w:rsidR="00884B9C" w:rsidRPr="000E2B6B" w:rsidRDefault="00762D81">
            <w:pPr>
              <w:jc w:val="center"/>
              <w:rPr>
                <w:rFonts w:cstheme="minorHAnsi"/>
                <w:szCs w:val="20"/>
              </w:rPr>
            </w:pPr>
            <w:r>
              <w:t>0</w:t>
            </w:r>
          </w:p>
        </w:tc>
        <w:tc>
          <w:tcPr>
            <w:tcW w:w="674" w:type="pct"/>
          </w:tcPr>
          <w:p w14:paraId="11A2629C" w14:textId="49367C42" w:rsidR="00884B9C" w:rsidRPr="000E2B6B" w:rsidRDefault="00543A62" w:rsidP="002A7EFE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06/14</w:t>
            </w:r>
            <w:r w:rsidR="00282AAF">
              <w:rPr>
                <w:rFonts w:cstheme="minorHAnsi"/>
                <w:szCs w:val="20"/>
              </w:rPr>
              <w:t>/2018</w:t>
            </w:r>
          </w:p>
        </w:tc>
        <w:tc>
          <w:tcPr>
            <w:tcW w:w="788" w:type="pct"/>
          </w:tcPr>
          <w:p w14:paraId="11A2629E" w14:textId="6ED43806" w:rsidR="00884B9C" w:rsidRPr="000E2B6B" w:rsidRDefault="00282AAF" w:rsidP="002A7EFE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Steve Fok (PG&amp;E)</w:t>
            </w:r>
          </w:p>
        </w:tc>
        <w:tc>
          <w:tcPr>
            <w:tcW w:w="3202" w:type="pct"/>
          </w:tcPr>
          <w:p w14:paraId="11A2629F" w14:textId="60F7F729" w:rsidR="00884B9C" w:rsidRPr="005734A4" w:rsidRDefault="00282AAF" w:rsidP="00FD292E">
            <w:pPr>
              <w:rPr>
                <w:rFonts w:cstheme="minorHAns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 xml:space="preserve">Adopted SCG </w:t>
            </w:r>
            <w:r w:rsidR="00334386">
              <w:rPr>
                <w:rFonts w:ascii="Calibri" w:hAnsi="Calibri" w:cs="Calibri"/>
                <w:szCs w:val="20"/>
              </w:rPr>
              <w:t xml:space="preserve">Workpaper </w:t>
            </w:r>
            <w:r w:rsidR="003E23F0">
              <w:t>SCGWP100310A Rev 9</w:t>
            </w:r>
            <w:r w:rsidR="003E23F0" w:rsidRPr="004016D3">
              <w:t xml:space="preserve"> </w:t>
            </w:r>
            <w:r>
              <w:t xml:space="preserve">dated </w:t>
            </w:r>
            <w:r w:rsidR="003E23F0">
              <w:t>August 12, 2011</w:t>
            </w:r>
            <w:r>
              <w:t xml:space="preserve"> (</w:t>
            </w:r>
            <w:r w:rsidR="003E23F0">
              <w:rPr>
                <w:rFonts w:ascii="Calibri" w:hAnsi="Calibri" w:cs="Calibri"/>
                <w:szCs w:val="20"/>
              </w:rPr>
              <w:t>authored by Chan Paek</w:t>
            </w:r>
            <w:r>
              <w:rPr>
                <w:rFonts w:ascii="Calibri" w:hAnsi="Calibri" w:cs="Calibri"/>
                <w:szCs w:val="20"/>
              </w:rPr>
              <w:t xml:space="preserve"> and created by </w:t>
            </w:r>
            <w:r w:rsidR="003E23F0">
              <w:rPr>
                <w:rFonts w:ascii="Calibri" w:hAnsi="Calibri" w:cs="Calibri"/>
                <w:szCs w:val="20"/>
              </w:rPr>
              <w:t>EEA</w:t>
            </w:r>
            <w:r w:rsidR="00334386">
              <w:rPr>
                <w:rFonts w:ascii="Calibri" w:hAnsi="Calibri" w:cs="Calibri"/>
                <w:szCs w:val="20"/>
              </w:rPr>
              <w:t>)</w:t>
            </w:r>
            <w:r w:rsidR="00543A62">
              <w:rPr>
                <w:rFonts w:ascii="Calibri" w:hAnsi="Calibri" w:cs="Calibri"/>
                <w:szCs w:val="20"/>
              </w:rPr>
              <w:t xml:space="preserve"> with changes.</w:t>
            </w:r>
          </w:p>
        </w:tc>
      </w:tr>
      <w:tr w:rsidR="00E52110" w:rsidRPr="00D21A97" w14:paraId="11A262A5" w14:textId="77777777" w:rsidTr="000A075B">
        <w:trPr>
          <w:trHeight w:val="20"/>
        </w:trPr>
        <w:tc>
          <w:tcPr>
            <w:tcW w:w="335" w:type="pct"/>
          </w:tcPr>
          <w:p w14:paraId="11A262A1" w14:textId="3F2820C1" w:rsidR="00884B9C" w:rsidRPr="00D21A97" w:rsidRDefault="00D21A97">
            <w:pPr>
              <w:jc w:val="center"/>
            </w:pPr>
            <w:r w:rsidRPr="00D21A97">
              <w:t>1</w:t>
            </w:r>
          </w:p>
        </w:tc>
        <w:tc>
          <w:tcPr>
            <w:tcW w:w="674" w:type="pct"/>
          </w:tcPr>
          <w:p w14:paraId="11A262A2" w14:textId="3783FA30" w:rsidR="00884B9C" w:rsidRPr="00D21A97" w:rsidRDefault="00D21A97" w:rsidP="002A7EFE">
            <w:pPr>
              <w:jc w:val="center"/>
            </w:pPr>
            <w:r w:rsidRPr="00D21A97">
              <w:t>01/28/2019</w:t>
            </w:r>
          </w:p>
        </w:tc>
        <w:tc>
          <w:tcPr>
            <w:tcW w:w="788" w:type="pct"/>
          </w:tcPr>
          <w:p w14:paraId="11A262A3" w14:textId="2E79F212" w:rsidR="00884B9C" w:rsidRPr="00D21A97" w:rsidRDefault="00D21A97" w:rsidP="002A7EFE">
            <w:r w:rsidRPr="00D21A97">
              <w:t>Adan Rosillo (PG&amp;E)</w:t>
            </w:r>
          </w:p>
        </w:tc>
        <w:tc>
          <w:tcPr>
            <w:tcW w:w="3202" w:type="pct"/>
          </w:tcPr>
          <w:p w14:paraId="11A262A4" w14:textId="0AFECC58" w:rsidR="00762D81" w:rsidRPr="00D21A97" w:rsidRDefault="00D21A97" w:rsidP="00762D81">
            <w:pPr>
              <w:rPr>
                <w:szCs w:val="20"/>
              </w:rPr>
            </w:pPr>
            <w:r w:rsidRPr="00D21A97">
              <w:rPr>
                <w:szCs w:val="20"/>
              </w:rPr>
              <w:t xml:space="preserve">Adopted </w:t>
            </w:r>
            <w:r>
              <w:rPr>
                <w:szCs w:val="20"/>
              </w:rPr>
              <w:t>SCG Workpaper SCGWP100310A</w:t>
            </w:r>
            <w:r w:rsidR="00515A7C">
              <w:rPr>
                <w:szCs w:val="20"/>
              </w:rPr>
              <w:t xml:space="preserve"> Rev 10 dated November 12, 2018</w:t>
            </w:r>
            <w:r w:rsidRPr="00D21A97">
              <w:rPr>
                <w:szCs w:val="20"/>
              </w:rPr>
              <w:t>.</w:t>
            </w:r>
          </w:p>
        </w:tc>
      </w:tr>
      <w:tr w:rsidR="00E52110" w:rsidRPr="00500C4E" w14:paraId="11A262AA" w14:textId="77777777" w:rsidTr="000A075B">
        <w:trPr>
          <w:trHeight w:val="20"/>
        </w:trPr>
        <w:tc>
          <w:tcPr>
            <w:tcW w:w="335" w:type="pct"/>
          </w:tcPr>
          <w:p w14:paraId="11A262A6" w14:textId="77777777" w:rsidR="00DB544A" w:rsidRPr="00F2079F" w:rsidRDefault="00DB544A" w:rsidP="00700C85">
            <w:pPr>
              <w:jc w:val="center"/>
            </w:pPr>
          </w:p>
        </w:tc>
        <w:tc>
          <w:tcPr>
            <w:tcW w:w="674" w:type="pct"/>
          </w:tcPr>
          <w:p w14:paraId="11A262A7" w14:textId="77777777" w:rsidR="00DB544A" w:rsidRDefault="00DB544A" w:rsidP="002A7EFE">
            <w:pPr>
              <w:jc w:val="center"/>
              <w:rPr>
                <w:szCs w:val="20"/>
              </w:rPr>
            </w:pPr>
          </w:p>
        </w:tc>
        <w:tc>
          <w:tcPr>
            <w:tcW w:w="788" w:type="pct"/>
          </w:tcPr>
          <w:p w14:paraId="11A262A8" w14:textId="77777777" w:rsidR="00DB544A" w:rsidRDefault="00DB544A" w:rsidP="002A7EFE">
            <w:pPr>
              <w:rPr>
                <w:szCs w:val="20"/>
              </w:rPr>
            </w:pPr>
          </w:p>
        </w:tc>
        <w:tc>
          <w:tcPr>
            <w:tcW w:w="3202" w:type="pct"/>
          </w:tcPr>
          <w:p w14:paraId="11A262A9" w14:textId="77777777" w:rsidR="00762D81" w:rsidRPr="006A478E" w:rsidRDefault="00762D81" w:rsidP="00700C85">
            <w:pPr>
              <w:rPr>
                <w:bCs/>
                <w:szCs w:val="20"/>
              </w:rPr>
            </w:pPr>
          </w:p>
        </w:tc>
      </w:tr>
      <w:tr w:rsidR="00E52110" w:rsidRPr="00500C4E" w14:paraId="11A262AF" w14:textId="77777777" w:rsidTr="000A075B">
        <w:trPr>
          <w:trHeight w:val="20"/>
        </w:trPr>
        <w:tc>
          <w:tcPr>
            <w:tcW w:w="335" w:type="pct"/>
          </w:tcPr>
          <w:p w14:paraId="11A262AB" w14:textId="77777777" w:rsidR="00762D81" w:rsidRDefault="00762D81" w:rsidP="008C2C8A">
            <w:pPr>
              <w:jc w:val="center"/>
            </w:pPr>
          </w:p>
        </w:tc>
        <w:tc>
          <w:tcPr>
            <w:tcW w:w="674" w:type="pct"/>
          </w:tcPr>
          <w:p w14:paraId="11A262AC" w14:textId="77777777" w:rsidR="00762D81" w:rsidRDefault="00762D81" w:rsidP="002A7EFE">
            <w:pPr>
              <w:jc w:val="center"/>
              <w:rPr>
                <w:szCs w:val="20"/>
              </w:rPr>
            </w:pPr>
          </w:p>
        </w:tc>
        <w:tc>
          <w:tcPr>
            <w:tcW w:w="788" w:type="pct"/>
          </w:tcPr>
          <w:p w14:paraId="11A262AD" w14:textId="77777777" w:rsidR="004016D3" w:rsidRDefault="004016D3" w:rsidP="002A7EFE">
            <w:pPr>
              <w:rPr>
                <w:szCs w:val="20"/>
              </w:rPr>
            </w:pPr>
          </w:p>
        </w:tc>
        <w:tc>
          <w:tcPr>
            <w:tcW w:w="3202" w:type="pct"/>
          </w:tcPr>
          <w:p w14:paraId="11A262AE" w14:textId="77777777" w:rsidR="004016D3" w:rsidRDefault="004016D3" w:rsidP="004016D3">
            <w:pPr>
              <w:rPr>
                <w:bCs/>
                <w:szCs w:val="20"/>
              </w:rPr>
            </w:pPr>
          </w:p>
        </w:tc>
      </w:tr>
      <w:tr w:rsidR="00700C85" w:rsidRPr="00500C4E" w14:paraId="11A262B4" w14:textId="77777777" w:rsidTr="000A075B">
        <w:trPr>
          <w:trHeight w:val="20"/>
        </w:trPr>
        <w:tc>
          <w:tcPr>
            <w:tcW w:w="335" w:type="pct"/>
          </w:tcPr>
          <w:p w14:paraId="11A262B0" w14:textId="77777777" w:rsidR="00700C85" w:rsidRDefault="00700C85" w:rsidP="008C2C8A">
            <w:pPr>
              <w:jc w:val="center"/>
            </w:pPr>
          </w:p>
        </w:tc>
        <w:tc>
          <w:tcPr>
            <w:tcW w:w="674" w:type="pct"/>
          </w:tcPr>
          <w:p w14:paraId="11A262B1" w14:textId="77777777" w:rsidR="00700C85" w:rsidRDefault="00700C85" w:rsidP="002A7EFE">
            <w:pPr>
              <w:jc w:val="center"/>
              <w:rPr>
                <w:szCs w:val="20"/>
              </w:rPr>
            </w:pPr>
          </w:p>
        </w:tc>
        <w:tc>
          <w:tcPr>
            <w:tcW w:w="788" w:type="pct"/>
          </w:tcPr>
          <w:p w14:paraId="11A262B2" w14:textId="77777777" w:rsidR="00700C85" w:rsidRDefault="00700C85" w:rsidP="002A7EFE">
            <w:pPr>
              <w:rPr>
                <w:szCs w:val="20"/>
              </w:rPr>
            </w:pPr>
          </w:p>
        </w:tc>
        <w:tc>
          <w:tcPr>
            <w:tcW w:w="3202" w:type="pct"/>
          </w:tcPr>
          <w:p w14:paraId="11A262B3" w14:textId="77777777" w:rsidR="00700C85" w:rsidRPr="00700C85" w:rsidRDefault="00700C85" w:rsidP="00EC7A22">
            <w:pPr>
              <w:ind w:left="360"/>
              <w:rPr>
                <w:bCs/>
              </w:rPr>
            </w:pPr>
          </w:p>
        </w:tc>
      </w:tr>
    </w:tbl>
    <w:p w14:paraId="11A262B5" w14:textId="77777777" w:rsidR="00DB71F1" w:rsidRDefault="00DB71F1" w:rsidP="00413EF4"/>
    <w:p w14:paraId="11A262B6" w14:textId="77777777" w:rsidR="00DB71F1" w:rsidRDefault="00DB71F1">
      <w:pPr>
        <w:spacing w:after="200" w:line="276" w:lineRule="auto"/>
      </w:pPr>
      <w:r>
        <w:br w:type="page"/>
      </w:r>
    </w:p>
    <w:p w14:paraId="11A262B7" w14:textId="77777777" w:rsidR="00DB71F1" w:rsidRDefault="00DB71F1" w:rsidP="00DB71F1">
      <w:pPr>
        <w:pStyle w:val="Heading2"/>
      </w:pPr>
      <w:r>
        <w:lastRenderedPageBreak/>
        <w:t>Measure Summary</w:t>
      </w:r>
      <w:r w:rsidRPr="0025216C">
        <w:t xml:space="preserve"> </w:t>
      </w:r>
    </w:p>
    <w:p w14:paraId="11A262B8" w14:textId="77777777" w:rsidR="00EE6CFE" w:rsidRPr="00EE6CFE" w:rsidRDefault="00EE6CFE" w:rsidP="0081521B"/>
    <w:p w14:paraId="11A262B9" w14:textId="6A798406" w:rsidR="00DB71F1" w:rsidRPr="00713B5F" w:rsidRDefault="00DB71F1" w:rsidP="00DB71F1">
      <w:pPr>
        <w:pStyle w:val="WPnumber"/>
        <w:keepNext/>
        <w:jc w:val="center"/>
        <w:rPr>
          <w:sz w:val="36"/>
          <w:szCs w:val="36"/>
        </w:rPr>
      </w:pPr>
      <w:r w:rsidRPr="00713B5F">
        <w:rPr>
          <w:sz w:val="36"/>
          <w:szCs w:val="36"/>
        </w:rPr>
        <w:t xml:space="preserve">Table </w:t>
      </w:r>
      <w:r w:rsidR="00BA2F3A" w:rsidRPr="00713B5F">
        <w:rPr>
          <w:sz w:val="36"/>
          <w:szCs w:val="36"/>
        </w:rPr>
        <w:fldChar w:fldCharType="begin"/>
      </w:r>
      <w:r w:rsidR="00BA2F3A" w:rsidRPr="00713B5F">
        <w:rPr>
          <w:sz w:val="36"/>
          <w:szCs w:val="36"/>
        </w:rPr>
        <w:instrText xml:space="preserve"> SEQ Table \* ARABIC </w:instrText>
      </w:r>
      <w:r w:rsidR="00BA2F3A" w:rsidRPr="00713B5F">
        <w:rPr>
          <w:sz w:val="36"/>
          <w:szCs w:val="36"/>
        </w:rPr>
        <w:fldChar w:fldCharType="separate"/>
      </w:r>
      <w:r w:rsidR="000A075B" w:rsidRPr="00713B5F">
        <w:rPr>
          <w:noProof/>
          <w:sz w:val="36"/>
          <w:szCs w:val="36"/>
        </w:rPr>
        <w:t>1</w:t>
      </w:r>
      <w:r w:rsidR="00BA2F3A" w:rsidRPr="00713B5F">
        <w:rPr>
          <w:noProof/>
          <w:sz w:val="36"/>
          <w:szCs w:val="36"/>
        </w:rPr>
        <w:fldChar w:fldCharType="end"/>
      </w:r>
      <w:r w:rsidRPr="00713B5F">
        <w:rPr>
          <w:sz w:val="36"/>
          <w:szCs w:val="36"/>
        </w:rPr>
        <w:t>: Measure Summary Table</w:t>
      </w:r>
    </w:p>
    <w:tbl>
      <w:tblPr>
        <w:tblStyle w:val="TableGrid"/>
        <w:tblW w:w="9576" w:type="dxa"/>
        <w:tblLayout w:type="fixed"/>
        <w:tblLook w:val="04A0" w:firstRow="1" w:lastRow="0" w:firstColumn="1" w:lastColumn="0" w:noHBand="0" w:noVBand="1"/>
      </w:tblPr>
      <w:tblGrid>
        <w:gridCol w:w="1795"/>
        <w:gridCol w:w="7781"/>
      </w:tblGrid>
      <w:tr w:rsidR="00DB71F1" w14:paraId="11A262BC" w14:textId="77777777" w:rsidTr="00D21A97">
        <w:trPr>
          <w:cantSplit/>
          <w:tblHeader/>
        </w:trPr>
        <w:tc>
          <w:tcPr>
            <w:tcW w:w="1795" w:type="dxa"/>
          </w:tcPr>
          <w:p w14:paraId="11A262BA" w14:textId="77777777" w:rsidR="00DB71F1" w:rsidRPr="00D86243" w:rsidRDefault="00DB71F1" w:rsidP="002A7EFE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7781" w:type="dxa"/>
          </w:tcPr>
          <w:p w14:paraId="11A262BB" w14:textId="77777777" w:rsidR="00DB71F1" w:rsidRPr="00D86243" w:rsidRDefault="00DB71F1" w:rsidP="002A7EFE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14:paraId="11A262BF" w14:textId="77777777" w:rsidTr="00D21A97">
        <w:trPr>
          <w:cantSplit/>
        </w:trPr>
        <w:tc>
          <w:tcPr>
            <w:tcW w:w="1795" w:type="dxa"/>
            <w:vAlign w:val="center"/>
          </w:tcPr>
          <w:p w14:paraId="11A262BD" w14:textId="77777777" w:rsidR="00DB71F1" w:rsidRPr="001D77F7" w:rsidRDefault="00DB71F1" w:rsidP="002A7EFE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7781" w:type="dxa"/>
          </w:tcPr>
          <w:p w14:paraId="11A262BE" w14:textId="2592AC56" w:rsidR="00DB71F1" w:rsidRPr="00D86243" w:rsidRDefault="00DB71F1" w:rsidP="00555671">
            <w:pPr>
              <w:jc w:val="both"/>
              <w:rPr>
                <w:rFonts w:cs="Arial"/>
                <w:sz w:val="20"/>
                <w:szCs w:val="20"/>
              </w:rPr>
            </w:pPr>
            <w:r w:rsidRPr="00E52110">
              <w:rPr>
                <w:rFonts w:cs="Arial"/>
                <w:sz w:val="20"/>
                <w:szCs w:val="20"/>
              </w:rPr>
              <w:t>This short form workpaper documents</w:t>
            </w:r>
            <w:r w:rsidR="00B80557">
              <w:rPr>
                <w:rFonts w:cs="Arial"/>
                <w:sz w:val="20"/>
                <w:szCs w:val="20"/>
              </w:rPr>
              <w:t xml:space="preserve"> details </w:t>
            </w:r>
            <w:r w:rsidR="0059370A">
              <w:rPr>
                <w:rFonts w:cs="Arial"/>
                <w:sz w:val="20"/>
                <w:szCs w:val="20"/>
              </w:rPr>
              <w:t>a steam trap replac</w:t>
            </w:r>
            <w:r w:rsidR="00067873">
              <w:rPr>
                <w:rFonts w:cs="Arial"/>
                <w:sz w:val="20"/>
                <w:szCs w:val="20"/>
              </w:rPr>
              <w:t>ement measure based on the</w:t>
            </w:r>
            <w:r w:rsidR="0059370A">
              <w:rPr>
                <w:rFonts w:cs="Arial"/>
                <w:sz w:val="20"/>
                <w:szCs w:val="20"/>
              </w:rPr>
              <w:t xml:space="preserve"> Commercial 12-24 hours day market segment and steam trap operating pressure</w:t>
            </w:r>
            <w:r w:rsidR="00EF61C8">
              <w:rPr>
                <w:rFonts w:cs="Arial"/>
                <w:sz w:val="20"/>
                <w:szCs w:val="20"/>
              </w:rPr>
              <w:t xml:space="preserve">. </w:t>
            </w:r>
            <w:r w:rsidR="00C228B0" w:rsidRPr="00E52110">
              <w:rPr>
                <w:rFonts w:cs="Arial"/>
                <w:sz w:val="20"/>
                <w:szCs w:val="20"/>
              </w:rPr>
              <w:t>The base energy consumption</w:t>
            </w:r>
            <w:r w:rsidR="00067315" w:rsidRPr="00E52110">
              <w:rPr>
                <w:rFonts w:cs="Arial"/>
                <w:sz w:val="20"/>
                <w:szCs w:val="20"/>
              </w:rPr>
              <w:t xml:space="preserve"> and </w:t>
            </w:r>
            <w:r w:rsidR="00C228B0" w:rsidRPr="00E52110">
              <w:rPr>
                <w:rFonts w:cs="Arial"/>
                <w:sz w:val="20"/>
                <w:szCs w:val="20"/>
              </w:rPr>
              <w:t>measure energy consumption</w:t>
            </w:r>
            <w:r w:rsidR="00067315" w:rsidRPr="00E52110">
              <w:rPr>
                <w:rFonts w:cs="Arial"/>
                <w:sz w:val="20"/>
                <w:szCs w:val="20"/>
              </w:rPr>
              <w:t xml:space="preserve"> values</w:t>
            </w:r>
            <w:r w:rsidR="00C228B0" w:rsidRPr="00E52110">
              <w:rPr>
                <w:rFonts w:cs="Arial"/>
                <w:sz w:val="20"/>
                <w:szCs w:val="20"/>
              </w:rPr>
              <w:t xml:space="preserve"> are fr</w:t>
            </w:r>
            <w:r w:rsidR="001A34A6" w:rsidRPr="00E52110">
              <w:rPr>
                <w:rFonts w:cs="Arial"/>
                <w:sz w:val="20"/>
                <w:szCs w:val="20"/>
              </w:rPr>
              <w:t xml:space="preserve">om </w:t>
            </w:r>
            <w:r w:rsidR="00EF61C8">
              <w:rPr>
                <w:rFonts w:cs="Arial"/>
                <w:sz w:val="20"/>
                <w:szCs w:val="20"/>
              </w:rPr>
              <w:t>SCG</w:t>
            </w:r>
            <w:r w:rsidR="00E52110">
              <w:rPr>
                <w:rFonts w:cs="Arial"/>
                <w:sz w:val="20"/>
                <w:szCs w:val="20"/>
              </w:rPr>
              <w:t xml:space="preserve">’s </w:t>
            </w:r>
            <w:r w:rsidR="001A34A6" w:rsidRPr="00E52110">
              <w:rPr>
                <w:rFonts w:cs="Arial"/>
                <w:sz w:val="20"/>
                <w:szCs w:val="20"/>
              </w:rPr>
              <w:t xml:space="preserve">workpaper, </w:t>
            </w:r>
            <w:r w:rsidR="0059370A">
              <w:rPr>
                <w:rFonts w:cs="Arial"/>
                <w:sz w:val="20"/>
                <w:szCs w:val="20"/>
              </w:rPr>
              <w:t>SCGWP100310</w:t>
            </w:r>
            <w:r w:rsidR="00EF61C8">
              <w:rPr>
                <w:rFonts w:cs="Arial"/>
                <w:sz w:val="20"/>
                <w:szCs w:val="20"/>
              </w:rPr>
              <w:t>A</w:t>
            </w:r>
            <w:r w:rsidR="00C228B0" w:rsidRPr="00E52110">
              <w:rPr>
                <w:rFonts w:cs="Arial"/>
                <w:sz w:val="20"/>
                <w:szCs w:val="20"/>
              </w:rPr>
              <w:t xml:space="preserve">, Revision </w:t>
            </w:r>
            <w:r w:rsidR="00D21A97">
              <w:rPr>
                <w:rFonts w:cs="Arial"/>
                <w:sz w:val="20"/>
                <w:szCs w:val="20"/>
              </w:rPr>
              <w:t>10</w:t>
            </w:r>
            <w:r w:rsidR="00067315" w:rsidRPr="00E52110">
              <w:rPr>
                <w:rFonts w:cs="Arial"/>
                <w:sz w:val="20"/>
                <w:szCs w:val="20"/>
              </w:rPr>
              <w:t xml:space="preserve">.  </w:t>
            </w:r>
          </w:p>
        </w:tc>
      </w:tr>
      <w:tr w:rsidR="00DB71F1" w14:paraId="11A262CB" w14:textId="77777777" w:rsidTr="00D21A97">
        <w:trPr>
          <w:cantSplit/>
        </w:trPr>
        <w:tc>
          <w:tcPr>
            <w:tcW w:w="1795" w:type="dxa"/>
            <w:vAlign w:val="center"/>
          </w:tcPr>
          <w:p w14:paraId="11A262C0" w14:textId="77777777" w:rsidR="00DB71F1" w:rsidRPr="001D77F7" w:rsidRDefault="00DB71F1" w:rsidP="002A7EFE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7781" w:type="dxa"/>
          </w:tcPr>
          <w:p w14:paraId="22672155" w14:textId="6AC476A9" w:rsidR="00EF61C8" w:rsidRPr="00555671" w:rsidRDefault="00EE6CFE" w:rsidP="001D57D7">
            <w:pPr>
              <w:rPr>
                <w:rFonts w:cs="Arial"/>
                <w:sz w:val="20"/>
                <w:szCs w:val="20"/>
              </w:rPr>
            </w:pPr>
            <w:r w:rsidRPr="00555671">
              <w:rPr>
                <w:rFonts w:cs="Arial"/>
                <w:sz w:val="20"/>
                <w:szCs w:val="20"/>
              </w:rPr>
              <w:t>Measure</w:t>
            </w:r>
            <w:r w:rsidR="00666474">
              <w:rPr>
                <w:rFonts w:cs="Arial"/>
                <w:sz w:val="20"/>
                <w:szCs w:val="20"/>
              </w:rPr>
              <w:t>s</w:t>
            </w:r>
            <w:r w:rsidRPr="00555671">
              <w:rPr>
                <w:rFonts w:cs="Arial"/>
                <w:sz w:val="20"/>
                <w:szCs w:val="20"/>
              </w:rPr>
              <w:t xml:space="preserve">: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68"/>
              <w:gridCol w:w="990"/>
              <w:gridCol w:w="4760"/>
            </w:tblGrid>
            <w:tr w:rsidR="008C5A8E" w14:paraId="11A262C5" w14:textId="77777777" w:rsidTr="001F1328">
              <w:tc>
                <w:tcPr>
                  <w:tcW w:w="968" w:type="dxa"/>
                </w:tcPr>
                <w:p w14:paraId="11A262C2" w14:textId="77777777" w:rsidR="008C5A8E" w:rsidRDefault="00B80557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 xml:space="preserve">PG&amp;E Measure </w:t>
                  </w:r>
                  <w:r w:rsidR="008C5A8E">
                    <w:rPr>
                      <w:rFonts w:cs="Arial"/>
                      <w:sz w:val="20"/>
                      <w:szCs w:val="20"/>
                    </w:rPr>
                    <w:t>Code</w:t>
                  </w:r>
                  <w:r w:rsidR="00666474">
                    <w:rPr>
                      <w:rFonts w:cs="Arial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tcW w:w="990" w:type="dxa"/>
                </w:tcPr>
                <w:p w14:paraId="3F5FB5E9" w14:textId="77777777" w:rsidR="00E768E1" w:rsidRDefault="00E768E1" w:rsidP="00B80557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SCG</w:t>
                  </w:r>
                </w:p>
                <w:p w14:paraId="11A262C3" w14:textId="51597B17" w:rsidR="008C5A8E" w:rsidRDefault="008B0AE0" w:rsidP="00B80557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Measure Codes</w:t>
                  </w:r>
                </w:p>
              </w:tc>
              <w:tc>
                <w:tcPr>
                  <w:tcW w:w="4760" w:type="dxa"/>
                </w:tcPr>
                <w:p w14:paraId="11A262C4" w14:textId="77777777" w:rsidR="008C5A8E" w:rsidRDefault="008C5A8E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Description</w:t>
                  </w:r>
                </w:p>
              </w:tc>
            </w:tr>
            <w:tr w:rsidR="008C5A8E" w14:paraId="11A262C9" w14:textId="77777777" w:rsidTr="001F1328">
              <w:tc>
                <w:tcPr>
                  <w:tcW w:w="968" w:type="dxa"/>
                </w:tcPr>
                <w:p w14:paraId="11A262C6" w14:textId="1BD0530F" w:rsidR="00666474" w:rsidRPr="008C5A8E" w:rsidRDefault="00F72493" w:rsidP="00D3336A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PR087</w:t>
                  </w:r>
                </w:p>
              </w:tc>
              <w:tc>
                <w:tcPr>
                  <w:tcW w:w="990" w:type="dxa"/>
                </w:tcPr>
                <w:p w14:paraId="11A262C7" w14:textId="293ACBA2" w:rsidR="008C5A8E" w:rsidRPr="008C5A8E" w:rsidRDefault="00EF61C8" w:rsidP="002A7EFE">
                  <w:pPr>
                    <w:rPr>
                      <w:rFonts w:cstheme="minorHAnsi"/>
                      <w:color w:val="FF0000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="008B0AE0">
                    <w:rPr>
                      <w:rFonts w:cstheme="minorHAnsi"/>
                      <w:sz w:val="20"/>
                      <w:szCs w:val="20"/>
                    </w:rPr>
                    <w:t>TBD</w:t>
                  </w:r>
                </w:p>
              </w:tc>
              <w:tc>
                <w:tcPr>
                  <w:tcW w:w="4760" w:type="dxa"/>
                </w:tcPr>
                <w:p w14:paraId="11A262C8" w14:textId="67777CD0" w:rsidR="008C5A8E" w:rsidRPr="008C5A8E" w:rsidRDefault="0059370A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 xml:space="preserve">Steam Trap Replacement – Commercial 12-24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hr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>/day</w:t>
                  </w:r>
                </w:p>
              </w:tc>
            </w:tr>
          </w:tbl>
          <w:p w14:paraId="11A262CA" w14:textId="77777777" w:rsidR="008C5A8E" w:rsidRPr="00241A1F" w:rsidRDefault="008C5A8E" w:rsidP="008C5A8E">
            <w:pPr>
              <w:rPr>
                <w:rFonts w:cs="Arial"/>
                <w:sz w:val="20"/>
                <w:szCs w:val="20"/>
              </w:rPr>
            </w:pPr>
          </w:p>
        </w:tc>
      </w:tr>
      <w:tr w:rsidR="00DB71F1" w14:paraId="11A262CE" w14:textId="77777777" w:rsidTr="00D21A97">
        <w:trPr>
          <w:cantSplit/>
        </w:trPr>
        <w:tc>
          <w:tcPr>
            <w:tcW w:w="1795" w:type="dxa"/>
            <w:vAlign w:val="center"/>
          </w:tcPr>
          <w:p w14:paraId="11A262CC" w14:textId="77777777" w:rsidR="00DB71F1" w:rsidRPr="001D77F7" w:rsidRDefault="00DB71F1" w:rsidP="002A7EFE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7781" w:type="dxa"/>
          </w:tcPr>
          <w:p w14:paraId="11A262CD" w14:textId="77777777" w:rsidR="00DB71F1" w:rsidRPr="00241A1F" w:rsidRDefault="00DB71F1">
            <w:pPr>
              <w:rPr>
                <w:rFonts w:cs="Arial"/>
                <w:sz w:val="20"/>
                <w:szCs w:val="20"/>
              </w:rPr>
            </w:pPr>
          </w:p>
        </w:tc>
      </w:tr>
      <w:tr w:rsidR="008775D7" w:rsidRPr="008775D7" w14:paraId="11A262D1" w14:textId="77777777" w:rsidTr="00D21A97">
        <w:trPr>
          <w:cantSplit/>
        </w:trPr>
        <w:tc>
          <w:tcPr>
            <w:tcW w:w="1795" w:type="dxa"/>
          </w:tcPr>
          <w:p w14:paraId="11A262CF" w14:textId="77777777" w:rsidR="008775D7" w:rsidRPr="00241A1F" w:rsidRDefault="008775D7" w:rsidP="00241A1F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Measures</w:t>
            </w:r>
          </w:p>
        </w:tc>
        <w:tc>
          <w:tcPr>
            <w:tcW w:w="7781" w:type="dxa"/>
          </w:tcPr>
          <w:p w14:paraId="11A262D0" w14:textId="057FD20B" w:rsidR="008775D7" w:rsidRPr="00E6538A" w:rsidRDefault="00E6538A" w:rsidP="00E6538A">
            <w:pPr>
              <w:pStyle w:val="NoSpacing"/>
            </w:pPr>
            <w:r>
              <w:t>See Requirements</w:t>
            </w:r>
          </w:p>
        </w:tc>
      </w:tr>
      <w:tr w:rsidR="008775D7" w:rsidRPr="008775D7" w14:paraId="11A262D7" w14:textId="77777777" w:rsidTr="00D21A97">
        <w:trPr>
          <w:cantSplit/>
        </w:trPr>
        <w:tc>
          <w:tcPr>
            <w:tcW w:w="1795" w:type="dxa"/>
          </w:tcPr>
          <w:p w14:paraId="11A262D2" w14:textId="77777777" w:rsidR="008775D7" w:rsidRPr="00653C4B" w:rsidRDefault="008775D7" w:rsidP="00241A1F">
            <w:pPr>
              <w:jc w:val="right"/>
              <w:rPr>
                <w:sz w:val="20"/>
                <w:szCs w:val="20"/>
              </w:rPr>
            </w:pPr>
            <w:r w:rsidRPr="00653C4B">
              <w:rPr>
                <w:sz w:val="20"/>
                <w:szCs w:val="20"/>
              </w:rPr>
              <w:t>Code for All Measures</w:t>
            </w:r>
          </w:p>
        </w:tc>
        <w:tc>
          <w:tcPr>
            <w:tcW w:w="7781" w:type="dxa"/>
          </w:tcPr>
          <w:p w14:paraId="11A262D3" w14:textId="660FFEAC" w:rsidR="00041DA6" w:rsidRPr="00A965B2" w:rsidRDefault="00D0497B" w:rsidP="00041D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cited per SCG wo</w:t>
            </w:r>
            <w:r w:rsidR="00041DA6" w:rsidRPr="00A965B2">
              <w:rPr>
                <w:sz w:val="20"/>
                <w:szCs w:val="20"/>
              </w:rPr>
              <w:t>rkpaper</w:t>
            </w:r>
          </w:p>
          <w:p w14:paraId="04187B6A" w14:textId="2217FA02" w:rsidR="00D0497B" w:rsidRPr="00067873" w:rsidRDefault="00067873" w:rsidP="007530C2">
            <w:pPr>
              <w:pStyle w:val="ListParagraph"/>
              <w:numPr>
                <w:ilvl w:val="0"/>
                <w:numId w:val="27"/>
              </w:numPr>
              <w:ind w:left="725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There is no code or other jurisdictional requirement.</w:t>
            </w:r>
          </w:p>
          <w:p w14:paraId="11A262D6" w14:textId="58FC573C" w:rsidR="00D0497B" w:rsidRPr="00A965B2" w:rsidRDefault="00D0497B" w:rsidP="005F4AE2">
            <w:pPr>
              <w:rPr>
                <w:sz w:val="20"/>
                <w:szCs w:val="20"/>
              </w:rPr>
            </w:pPr>
          </w:p>
        </w:tc>
      </w:tr>
      <w:tr w:rsidR="00E84938" w14:paraId="11A262DD" w14:textId="77777777" w:rsidTr="00D21A97">
        <w:trPr>
          <w:cantSplit/>
        </w:trPr>
        <w:tc>
          <w:tcPr>
            <w:tcW w:w="1795" w:type="dxa"/>
          </w:tcPr>
          <w:p w14:paraId="11A262D8" w14:textId="77777777" w:rsidR="00E84938" w:rsidRPr="001D77F7" w:rsidRDefault="00E84938" w:rsidP="008724D6">
            <w:pPr>
              <w:jc w:val="right"/>
              <w:rPr>
                <w:b/>
              </w:rPr>
            </w:pPr>
            <w:r w:rsidRPr="00197677">
              <w:rPr>
                <w:rFonts w:cs="Arial"/>
                <w:sz w:val="20"/>
                <w:szCs w:val="20"/>
              </w:rPr>
              <w:t>Requirements</w:t>
            </w:r>
          </w:p>
        </w:tc>
        <w:tc>
          <w:tcPr>
            <w:tcW w:w="7781" w:type="dxa"/>
          </w:tcPr>
          <w:p w14:paraId="11A262D9" w14:textId="77777777" w:rsidR="00D36B0E" w:rsidRPr="00A965B2" w:rsidRDefault="00D36B0E" w:rsidP="00D36B0E">
            <w:pPr>
              <w:ind w:left="270"/>
              <w:rPr>
                <w:rFonts w:cs="Arial"/>
                <w:b/>
                <w:i/>
                <w:sz w:val="20"/>
                <w:szCs w:val="20"/>
              </w:rPr>
            </w:pPr>
            <w:r w:rsidRPr="00A965B2">
              <w:rPr>
                <w:rFonts w:cs="Arial"/>
                <w:b/>
                <w:i/>
                <w:sz w:val="20"/>
                <w:szCs w:val="20"/>
              </w:rPr>
              <w:t>Terms and Conditions</w:t>
            </w:r>
          </w:p>
          <w:p w14:paraId="3F2EB7AD" w14:textId="374CB1AD" w:rsidR="00E6538A" w:rsidRPr="003E54D5" w:rsidRDefault="00E6538A" w:rsidP="00E6538A">
            <w:pPr>
              <w:pStyle w:val="NoSpacing"/>
              <w:numPr>
                <w:ilvl w:val="0"/>
                <w:numId w:val="19"/>
              </w:numPr>
            </w:pPr>
            <w:bookmarkStart w:id="2" w:name="_Hlk502140877"/>
            <w:r w:rsidRPr="003E54D5">
              <w:rPr>
                <w:b/>
              </w:rPr>
              <w:t>Eligibility requirements</w:t>
            </w:r>
            <w:r>
              <w:rPr>
                <w:b/>
              </w:rPr>
              <w:t xml:space="preserve"> (Measure)</w:t>
            </w:r>
            <w:r w:rsidRPr="003E54D5">
              <w:t>:</w:t>
            </w:r>
            <w:r w:rsidR="00736717">
              <w:t xml:space="preserve"> New steam traps designed for any pipe sizes are eligible.</w:t>
            </w:r>
            <w:r w:rsidR="004C6CB2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39828772" w14:textId="54667A9A" w:rsidR="00E6538A" w:rsidRPr="003E54D5" w:rsidRDefault="00E6538A" w:rsidP="00067873">
            <w:pPr>
              <w:pStyle w:val="NoSpacing"/>
              <w:numPr>
                <w:ilvl w:val="0"/>
                <w:numId w:val="19"/>
              </w:numPr>
            </w:pPr>
            <w:r w:rsidRPr="003E54D5">
              <w:t xml:space="preserve"> </w:t>
            </w:r>
            <w:r w:rsidRPr="003E54D5">
              <w:rPr>
                <w:b/>
              </w:rPr>
              <w:t>Eligibility requirements</w:t>
            </w:r>
            <w:r>
              <w:rPr>
                <w:b/>
              </w:rPr>
              <w:t xml:space="preserve"> (Baseline)</w:t>
            </w:r>
            <w:r w:rsidRPr="003E54D5">
              <w:t>:</w:t>
            </w:r>
            <w:r w:rsidRPr="009924CD">
              <w:t xml:space="preserve"> </w:t>
            </w:r>
            <w:bookmarkEnd w:id="2"/>
            <w:r w:rsidR="00067873">
              <w:t xml:space="preserve"> </w:t>
            </w:r>
            <w:r w:rsidR="008B4041">
              <w:t>L</w:t>
            </w:r>
            <w:r w:rsidR="00067873">
              <w:t xml:space="preserve">imited to </w:t>
            </w:r>
            <w:r w:rsidR="00EF11B5">
              <w:t>the replacement of steam traps that</w:t>
            </w:r>
            <w:r w:rsidR="007530C2">
              <w:t xml:space="preserve"> are</w:t>
            </w:r>
            <w:r w:rsidR="00EF11B5">
              <w:t xml:space="preserve"> fail</w:t>
            </w:r>
            <w:r w:rsidR="007530C2">
              <w:t>ed</w:t>
            </w:r>
            <w:r w:rsidR="00713B5F">
              <w:t xml:space="preserve"> open</w:t>
            </w:r>
            <w:r w:rsidR="00EF11B5">
              <w:t xml:space="preserve"> (in either the leaking failure or the blow-through failure mode).</w:t>
            </w:r>
          </w:p>
          <w:p w14:paraId="11A262DC" w14:textId="3589834E" w:rsidR="00BD7ED5" w:rsidRPr="00E6538A" w:rsidRDefault="00E6538A" w:rsidP="00E6538A">
            <w:pPr>
              <w:pStyle w:val="NoSpacing"/>
              <w:numPr>
                <w:ilvl w:val="0"/>
                <w:numId w:val="19"/>
              </w:numPr>
            </w:pPr>
            <w:r w:rsidRPr="003E54D5">
              <w:rPr>
                <w:b/>
              </w:rPr>
              <w:t>Implementation and installation requirements</w:t>
            </w:r>
            <w:r w:rsidR="00736717">
              <w:t>: New Construction is not eligible.</w:t>
            </w:r>
          </w:p>
        </w:tc>
      </w:tr>
      <w:tr w:rsidR="007530C2" w14:paraId="7E2BD013" w14:textId="77777777" w:rsidTr="00D21A97">
        <w:trPr>
          <w:cantSplit/>
        </w:trPr>
        <w:tc>
          <w:tcPr>
            <w:tcW w:w="1795" w:type="dxa"/>
          </w:tcPr>
          <w:p w14:paraId="6D1F113C" w14:textId="77777777" w:rsidR="007530C2" w:rsidRPr="00197677" w:rsidRDefault="007530C2" w:rsidP="008724D6">
            <w:pPr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7781" w:type="dxa"/>
          </w:tcPr>
          <w:p w14:paraId="5BE5138C" w14:textId="77777777" w:rsidR="007530C2" w:rsidRPr="00A965B2" w:rsidRDefault="007530C2" w:rsidP="00D36B0E">
            <w:pPr>
              <w:ind w:left="270"/>
              <w:rPr>
                <w:rFonts w:cs="Arial"/>
                <w:b/>
                <w:i/>
                <w:sz w:val="20"/>
                <w:szCs w:val="20"/>
              </w:rPr>
            </w:pPr>
          </w:p>
        </w:tc>
      </w:tr>
      <w:tr w:rsidR="00DB71F1" w14:paraId="11A262E0" w14:textId="77777777" w:rsidTr="00D21A97">
        <w:trPr>
          <w:cantSplit/>
        </w:trPr>
        <w:tc>
          <w:tcPr>
            <w:tcW w:w="1795" w:type="dxa"/>
          </w:tcPr>
          <w:p w14:paraId="11A262DE" w14:textId="7D371738" w:rsidR="00DB71F1" w:rsidRPr="001D77F7" w:rsidRDefault="00713B5F" w:rsidP="002A7EFE">
            <w:pPr>
              <w:rPr>
                <w:b/>
              </w:rPr>
            </w:pPr>
            <w:r>
              <w:rPr>
                <w:b/>
              </w:rPr>
              <w:t>1.3 Installation Type &amp;</w:t>
            </w:r>
            <w:r w:rsidR="00DB71F1" w:rsidRPr="001D77F7">
              <w:rPr>
                <w:b/>
              </w:rPr>
              <w:t xml:space="preserve"> Delivery Mechanisms</w:t>
            </w:r>
          </w:p>
        </w:tc>
        <w:tc>
          <w:tcPr>
            <w:tcW w:w="7781" w:type="dxa"/>
          </w:tcPr>
          <w:p w14:paraId="11A262DF" w14:textId="77777777" w:rsidR="00DB71F1" w:rsidRPr="00D86243" w:rsidRDefault="00DB71F1" w:rsidP="002A7EFE">
            <w:pPr>
              <w:rPr>
                <w:rFonts w:cs="Arial"/>
                <w:sz w:val="20"/>
                <w:szCs w:val="20"/>
              </w:rPr>
            </w:pPr>
          </w:p>
        </w:tc>
      </w:tr>
      <w:tr w:rsidR="00DB71F1" w14:paraId="11A262E3" w14:textId="77777777" w:rsidTr="00D21A97">
        <w:trPr>
          <w:cantSplit/>
        </w:trPr>
        <w:tc>
          <w:tcPr>
            <w:tcW w:w="1795" w:type="dxa"/>
            <w:vAlign w:val="center"/>
          </w:tcPr>
          <w:p w14:paraId="11A262E1" w14:textId="77777777" w:rsidR="00DB71F1" w:rsidRPr="00822B6F" w:rsidRDefault="00DB71F1" w:rsidP="002A7EFE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7781" w:type="dxa"/>
          </w:tcPr>
          <w:p w14:paraId="11A262E2" w14:textId="1C30EC21" w:rsidR="00CF2ABA" w:rsidRPr="00B33C9D" w:rsidRDefault="00B33C9D" w:rsidP="00FE6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RC – PG&amp;E do not offer BRO-Op currently, which is the measure used by SCG.  MAT will be updated to </w:t>
            </w:r>
            <w:r w:rsidR="00D21A97">
              <w:rPr>
                <w:sz w:val="20"/>
                <w:szCs w:val="20"/>
              </w:rPr>
              <w:t>BRO-Op</w:t>
            </w:r>
            <w:r>
              <w:rPr>
                <w:sz w:val="20"/>
                <w:szCs w:val="20"/>
              </w:rPr>
              <w:t xml:space="preserve"> in future updates for Q1/Q2 2019</w:t>
            </w:r>
          </w:p>
        </w:tc>
      </w:tr>
      <w:tr w:rsidR="00DB71F1" w14:paraId="11A262E6" w14:textId="77777777" w:rsidTr="00D21A97">
        <w:trPr>
          <w:cantSplit/>
        </w:trPr>
        <w:tc>
          <w:tcPr>
            <w:tcW w:w="1795" w:type="dxa"/>
            <w:vAlign w:val="center"/>
          </w:tcPr>
          <w:p w14:paraId="11A262E4" w14:textId="77777777" w:rsidR="00DB71F1" w:rsidRPr="00822B6F" w:rsidRDefault="00DB71F1" w:rsidP="002A7EFE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7781" w:type="dxa"/>
          </w:tcPr>
          <w:p w14:paraId="22201A6B" w14:textId="77777777" w:rsidR="00B9551F" w:rsidRDefault="00DB71F1" w:rsidP="00076614">
            <w:pPr>
              <w:rPr>
                <w:rFonts w:cs="Arial"/>
                <w:sz w:val="20"/>
                <w:szCs w:val="20"/>
              </w:rPr>
            </w:pPr>
            <w:r w:rsidRPr="00FE636E">
              <w:rPr>
                <w:rFonts w:cs="Arial"/>
                <w:sz w:val="20"/>
                <w:szCs w:val="20"/>
              </w:rPr>
              <w:t xml:space="preserve">Downstream </w:t>
            </w:r>
            <w:r w:rsidR="003E0DC8" w:rsidRPr="00FE636E">
              <w:rPr>
                <w:rFonts w:cs="Arial"/>
                <w:sz w:val="20"/>
                <w:szCs w:val="20"/>
              </w:rPr>
              <w:t>Rebate</w:t>
            </w:r>
            <w:r w:rsidRPr="00FE636E">
              <w:rPr>
                <w:rFonts w:cs="Arial"/>
                <w:sz w:val="20"/>
                <w:szCs w:val="20"/>
              </w:rPr>
              <w:t xml:space="preserve"> – Deemed</w:t>
            </w:r>
          </w:p>
          <w:p w14:paraId="77167193" w14:textId="2820E7E4" w:rsidR="008365EB" w:rsidRDefault="008365EB" w:rsidP="00076614">
            <w:pPr>
              <w:rPr>
                <w:rFonts w:cs="Arial"/>
                <w:sz w:val="20"/>
                <w:szCs w:val="20"/>
              </w:rPr>
            </w:pPr>
          </w:p>
          <w:p w14:paraId="11A262E5" w14:textId="1289BDD7" w:rsidR="008365EB" w:rsidRPr="00FE636E" w:rsidRDefault="008365EB" w:rsidP="00076614">
            <w:pPr>
              <w:rPr>
                <w:rFonts w:cs="Arial"/>
                <w:sz w:val="20"/>
                <w:szCs w:val="20"/>
              </w:rPr>
            </w:pPr>
          </w:p>
        </w:tc>
      </w:tr>
      <w:tr w:rsidR="00DB71F1" w14:paraId="11A262E9" w14:textId="77777777" w:rsidTr="00D21A97">
        <w:trPr>
          <w:cantSplit/>
        </w:trPr>
        <w:tc>
          <w:tcPr>
            <w:tcW w:w="1795" w:type="dxa"/>
          </w:tcPr>
          <w:p w14:paraId="11A262E7" w14:textId="77777777" w:rsidR="00DB71F1" w:rsidRPr="001D77F7" w:rsidRDefault="00DB71F1" w:rsidP="002A7EFE">
            <w:pPr>
              <w:rPr>
                <w:b/>
              </w:rPr>
            </w:pPr>
            <w:r w:rsidRPr="001D77F7">
              <w:rPr>
                <w:b/>
              </w:rPr>
              <w:t>1.4.1 DEER Data</w:t>
            </w:r>
          </w:p>
        </w:tc>
        <w:tc>
          <w:tcPr>
            <w:tcW w:w="7781" w:type="dxa"/>
          </w:tcPr>
          <w:p w14:paraId="11A262E8" w14:textId="77777777" w:rsidR="00DB71F1" w:rsidRDefault="00DB71F1" w:rsidP="002A7EFE"/>
        </w:tc>
      </w:tr>
      <w:tr w:rsidR="00A61271" w14:paraId="11A262EC" w14:textId="77777777" w:rsidTr="00D21A97">
        <w:trPr>
          <w:cantSplit/>
        </w:trPr>
        <w:tc>
          <w:tcPr>
            <w:tcW w:w="1795" w:type="dxa"/>
            <w:vAlign w:val="center"/>
          </w:tcPr>
          <w:p w14:paraId="11A262EA" w14:textId="77777777" w:rsidR="00A61271" w:rsidRPr="00D3336A" w:rsidRDefault="00A61271" w:rsidP="002A7EFE">
            <w:pPr>
              <w:jc w:val="right"/>
              <w:rPr>
                <w:sz w:val="20"/>
                <w:szCs w:val="20"/>
              </w:rPr>
            </w:pPr>
            <w:r w:rsidRPr="00D3336A">
              <w:rPr>
                <w:sz w:val="20"/>
                <w:szCs w:val="20"/>
              </w:rPr>
              <w:t>Net-to-Gross Ratio</w:t>
            </w:r>
          </w:p>
        </w:tc>
        <w:tc>
          <w:tcPr>
            <w:tcW w:w="7781" w:type="dxa"/>
          </w:tcPr>
          <w:p w14:paraId="11A262EB" w14:textId="0DB28298" w:rsidR="00A61271" w:rsidRPr="00D3336A" w:rsidRDefault="00543A62" w:rsidP="00D3336A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0.68</w:t>
            </w:r>
            <w:r w:rsidR="00704025">
              <w:rPr>
                <w:rFonts w:cs="Arial"/>
                <w:sz w:val="20"/>
                <w:szCs w:val="20"/>
              </w:rPr>
              <w:t xml:space="preserve"> (</w:t>
            </w:r>
            <w:proofErr w:type="spellStart"/>
            <w:r w:rsidR="00704025">
              <w:rPr>
                <w:rFonts w:cs="Arial"/>
                <w:sz w:val="20"/>
                <w:szCs w:val="20"/>
              </w:rPr>
              <w:t>NTG_ID</w:t>
            </w:r>
            <w:proofErr w:type="spellEnd"/>
            <w:r w:rsidR="00704025">
              <w:rPr>
                <w:rFonts w:cs="Arial"/>
                <w:sz w:val="20"/>
                <w:szCs w:val="20"/>
              </w:rPr>
              <w:t xml:space="preserve"> = </w:t>
            </w:r>
            <w:proofErr w:type="spellStart"/>
            <w:r w:rsidR="00704025">
              <w:rPr>
                <w:rFonts w:cs="Arial"/>
                <w:sz w:val="20"/>
                <w:szCs w:val="20"/>
              </w:rPr>
              <w:t>NonRes-sAll-mStmTrp-dn</w:t>
            </w:r>
            <w:proofErr w:type="spellEnd"/>
            <w:r w:rsidR="00736717">
              <w:rPr>
                <w:rFonts w:cs="Arial"/>
                <w:sz w:val="20"/>
                <w:szCs w:val="20"/>
              </w:rPr>
              <w:t>)</w:t>
            </w:r>
          </w:p>
        </w:tc>
      </w:tr>
      <w:tr w:rsidR="00A61271" w14:paraId="11A262FF" w14:textId="77777777" w:rsidTr="00D21A97">
        <w:trPr>
          <w:cantSplit/>
        </w:trPr>
        <w:tc>
          <w:tcPr>
            <w:tcW w:w="1795" w:type="dxa"/>
            <w:vAlign w:val="center"/>
          </w:tcPr>
          <w:p w14:paraId="11A262ED" w14:textId="77777777" w:rsidR="00A61271" w:rsidRPr="00822B6F" w:rsidRDefault="00A61271" w:rsidP="002A7EFE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7781" w:type="dxa"/>
          </w:tcPr>
          <w:p w14:paraId="11A262EE" w14:textId="77777777" w:rsidR="0051536D" w:rsidRDefault="0051536D">
            <w:pPr>
              <w:tabs>
                <w:tab w:val="right" w:pos="6732"/>
              </w:tabs>
              <w:rPr>
                <w:rFonts w:cstheme="minorHAnsi"/>
                <w:szCs w:val="20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04"/>
              <w:gridCol w:w="2185"/>
              <w:gridCol w:w="735"/>
              <w:gridCol w:w="1256"/>
              <w:gridCol w:w="1309"/>
            </w:tblGrid>
            <w:tr w:rsidR="00A75B5B" w14:paraId="11A262F4" w14:textId="77777777" w:rsidTr="001F1328">
              <w:tc>
                <w:tcPr>
                  <w:tcW w:w="1504" w:type="dxa"/>
                </w:tcPr>
                <w:p w14:paraId="11A262EF" w14:textId="77777777" w:rsidR="00A75B5B" w:rsidRPr="00F6244F" w:rsidRDefault="00A75B5B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F6244F">
                    <w:rPr>
                      <w:rFonts w:cs="Arial"/>
                      <w:sz w:val="20"/>
                      <w:szCs w:val="20"/>
                    </w:rPr>
                    <w:t>EUL ID</w:t>
                  </w:r>
                </w:p>
              </w:tc>
              <w:tc>
                <w:tcPr>
                  <w:tcW w:w="2185" w:type="dxa"/>
                </w:tcPr>
                <w:p w14:paraId="11A262F0" w14:textId="77777777" w:rsidR="00A75B5B" w:rsidRPr="00481A9D" w:rsidRDefault="00A75B5B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481A9D">
                    <w:rPr>
                      <w:rFonts w:cs="Arial"/>
                      <w:sz w:val="20"/>
                      <w:szCs w:val="20"/>
                    </w:rPr>
                    <w:t>Description</w:t>
                  </w:r>
                </w:p>
              </w:tc>
              <w:tc>
                <w:tcPr>
                  <w:tcW w:w="735" w:type="dxa"/>
                </w:tcPr>
                <w:p w14:paraId="11A262F1" w14:textId="77777777" w:rsidR="00A75B5B" w:rsidRPr="00481A9D" w:rsidRDefault="00A75B5B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481A9D">
                    <w:rPr>
                      <w:rFonts w:cs="Arial"/>
                      <w:sz w:val="20"/>
                      <w:szCs w:val="20"/>
                    </w:rPr>
                    <w:t>Sector</w:t>
                  </w:r>
                </w:p>
              </w:tc>
              <w:tc>
                <w:tcPr>
                  <w:tcW w:w="1256" w:type="dxa"/>
                </w:tcPr>
                <w:p w14:paraId="11A262F2" w14:textId="77777777" w:rsidR="00A75B5B" w:rsidRPr="00481A9D" w:rsidRDefault="00A75B5B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 w:rsidRPr="00481A9D">
                    <w:rPr>
                      <w:rFonts w:cs="Arial"/>
                      <w:sz w:val="20"/>
                      <w:szCs w:val="20"/>
                    </w:rPr>
                    <w:t>UseCategory</w:t>
                  </w:r>
                  <w:proofErr w:type="spellEnd"/>
                </w:p>
              </w:tc>
              <w:tc>
                <w:tcPr>
                  <w:tcW w:w="1309" w:type="dxa"/>
                </w:tcPr>
                <w:p w14:paraId="11A262F3" w14:textId="77777777" w:rsidR="00A75B5B" w:rsidRPr="00481A9D" w:rsidRDefault="00A75B5B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EUL ( years)</w:t>
                  </w:r>
                </w:p>
              </w:tc>
            </w:tr>
            <w:tr w:rsidR="00A75B5B" w14:paraId="11A262FA" w14:textId="77777777" w:rsidTr="001F1328">
              <w:tc>
                <w:tcPr>
                  <w:tcW w:w="1504" w:type="dxa"/>
                </w:tcPr>
                <w:p w14:paraId="11A262F5" w14:textId="30DB39EE" w:rsidR="00A75B5B" w:rsidRPr="00A965B2" w:rsidRDefault="00D21A97" w:rsidP="002A7EFE">
                  <w:pPr>
                    <w:rPr>
                      <w:color w:val="FF00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cstheme="minorHAnsi"/>
                      <w:sz w:val="20"/>
                      <w:szCs w:val="20"/>
                    </w:rPr>
                    <w:t>NonRes</w:t>
                  </w:r>
                  <w:proofErr w:type="spellEnd"/>
                  <w:r>
                    <w:rPr>
                      <w:rFonts w:cstheme="minorHAnsi"/>
                      <w:sz w:val="20"/>
                      <w:szCs w:val="20"/>
                    </w:rPr>
                    <w:t>-</w:t>
                  </w:r>
                  <w:proofErr w:type="spellStart"/>
                  <w:r>
                    <w:rPr>
                      <w:rFonts w:cstheme="minorHAnsi"/>
                      <w:sz w:val="20"/>
                      <w:szCs w:val="20"/>
                    </w:rPr>
                    <w:t>RCx</w:t>
                  </w:r>
                  <w:proofErr w:type="spellEnd"/>
                  <w:r>
                    <w:rPr>
                      <w:rFonts w:cstheme="minorHAnsi"/>
                      <w:sz w:val="20"/>
                      <w:szCs w:val="20"/>
                    </w:rPr>
                    <w:t>-O</w:t>
                  </w:r>
                  <w:r w:rsidR="00BE6C6D">
                    <w:rPr>
                      <w:rFonts w:cstheme="minorHAnsi"/>
                      <w:sz w:val="20"/>
                      <w:szCs w:val="20"/>
                    </w:rPr>
                    <w:t>perational</w:t>
                  </w:r>
                </w:p>
              </w:tc>
              <w:tc>
                <w:tcPr>
                  <w:tcW w:w="2185" w:type="dxa"/>
                </w:tcPr>
                <w:p w14:paraId="11A262F6" w14:textId="0711A9B1" w:rsidR="00A75B5B" w:rsidRPr="00A965B2" w:rsidRDefault="000371AA" w:rsidP="002A7EFE">
                  <w:pPr>
                    <w:rPr>
                      <w:color w:val="FF0000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Steam Trap Replacement – Large Commercial 12-24 h</w:t>
                  </w:r>
                  <w:r w:rsidR="00820C53">
                    <w:rPr>
                      <w:rFonts w:cstheme="minorHAnsi"/>
                      <w:sz w:val="20"/>
                      <w:szCs w:val="20"/>
                    </w:rPr>
                    <w:t>ou</w:t>
                  </w:r>
                  <w:r>
                    <w:rPr>
                      <w:rFonts w:cstheme="minorHAnsi"/>
                      <w:sz w:val="20"/>
                      <w:szCs w:val="20"/>
                    </w:rPr>
                    <w:t>r/day</w:t>
                  </w:r>
                </w:p>
              </w:tc>
              <w:tc>
                <w:tcPr>
                  <w:tcW w:w="735" w:type="dxa"/>
                </w:tcPr>
                <w:p w14:paraId="11A262F7" w14:textId="77777777" w:rsidR="00A75B5B" w:rsidRPr="00A965B2" w:rsidRDefault="00A75B5B" w:rsidP="002A7EFE">
                  <w:pPr>
                    <w:rPr>
                      <w:color w:val="FF0000"/>
                      <w:sz w:val="20"/>
                      <w:szCs w:val="20"/>
                    </w:rPr>
                  </w:pPr>
                  <w:r w:rsidRPr="00A965B2">
                    <w:rPr>
                      <w:rFonts w:cstheme="minorHAnsi"/>
                      <w:sz w:val="20"/>
                      <w:szCs w:val="20"/>
                    </w:rPr>
                    <w:t>Com</w:t>
                  </w:r>
                </w:p>
              </w:tc>
              <w:tc>
                <w:tcPr>
                  <w:tcW w:w="1256" w:type="dxa"/>
                </w:tcPr>
                <w:p w14:paraId="11A262F8" w14:textId="771A3B2A" w:rsidR="00A75B5B" w:rsidRPr="00A965B2" w:rsidRDefault="003C7A90" w:rsidP="002A7EFE">
                  <w:pPr>
                    <w:rPr>
                      <w:color w:val="FF00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cstheme="minorHAnsi"/>
                      <w:sz w:val="20"/>
                      <w:szCs w:val="20"/>
                    </w:rPr>
                    <w:t>ProcHeat</w:t>
                  </w:r>
                  <w:proofErr w:type="spellEnd"/>
                </w:p>
              </w:tc>
              <w:tc>
                <w:tcPr>
                  <w:tcW w:w="1309" w:type="dxa"/>
                </w:tcPr>
                <w:p w14:paraId="11A262F9" w14:textId="77072887" w:rsidR="00A75B5B" w:rsidRDefault="00D21A97" w:rsidP="002A7EFE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3</w:t>
                  </w:r>
                </w:p>
              </w:tc>
            </w:tr>
            <w:tr w:rsidR="00A75B5B" w14:paraId="11A262FD" w14:textId="77777777" w:rsidTr="001F1328">
              <w:tc>
                <w:tcPr>
                  <w:tcW w:w="5680" w:type="dxa"/>
                  <w:gridSpan w:val="4"/>
                  <w:tcBorders>
                    <w:left w:val="nil"/>
                    <w:bottom w:val="nil"/>
                    <w:right w:val="nil"/>
                  </w:tcBorders>
                </w:tcPr>
                <w:p w14:paraId="11A262FB" w14:textId="6C5C52C1" w:rsidR="00A75B5B" w:rsidRPr="000371AA" w:rsidRDefault="00A75B5B" w:rsidP="000371AA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309" w:type="dxa"/>
                  <w:tcBorders>
                    <w:left w:val="nil"/>
                    <w:bottom w:val="nil"/>
                    <w:right w:val="nil"/>
                  </w:tcBorders>
                </w:tcPr>
                <w:p w14:paraId="11A262FC" w14:textId="77777777" w:rsidR="00A75B5B" w:rsidRDefault="00A75B5B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11A262FE" w14:textId="77777777" w:rsidR="0051536D" w:rsidRPr="00D86243" w:rsidRDefault="0051536D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A61271" w14:paraId="11A26302" w14:textId="77777777" w:rsidTr="00D21A97">
        <w:trPr>
          <w:cantSplit/>
        </w:trPr>
        <w:tc>
          <w:tcPr>
            <w:tcW w:w="1795" w:type="dxa"/>
            <w:vAlign w:val="center"/>
          </w:tcPr>
          <w:p w14:paraId="11A26300" w14:textId="77777777" w:rsidR="00A61271" w:rsidRPr="001D77F7" w:rsidRDefault="00A61271" w:rsidP="002A7EFE">
            <w:pPr>
              <w:rPr>
                <w:b/>
              </w:rPr>
            </w:pPr>
            <w:r w:rsidRPr="001D77F7">
              <w:rPr>
                <w:b/>
              </w:rPr>
              <w:lastRenderedPageBreak/>
              <w:t>Section 2. Calculation Methodology</w:t>
            </w:r>
          </w:p>
        </w:tc>
        <w:tc>
          <w:tcPr>
            <w:tcW w:w="7781" w:type="dxa"/>
            <w:vAlign w:val="center"/>
          </w:tcPr>
          <w:p w14:paraId="11A26301" w14:textId="18259531" w:rsidR="00A61271" w:rsidRPr="00241A1F" w:rsidRDefault="000371A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 cited per SCG workpaper</w:t>
            </w:r>
          </w:p>
        </w:tc>
      </w:tr>
      <w:tr w:rsidR="00A61271" w14:paraId="11A26337" w14:textId="77777777" w:rsidTr="00D21A97">
        <w:trPr>
          <w:cantSplit/>
        </w:trPr>
        <w:tc>
          <w:tcPr>
            <w:tcW w:w="1795" w:type="dxa"/>
            <w:vAlign w:val="center"/>
          </w:tcPr>
          <w:p w14:paraId="11A26303" w14:textId="77777777" w:rsidR="00A61271" w:rsidRDefault="00A61271" w:rsidP="00787D7C">
            <w:pPr>
              <w:jc w:val="right"/>
            </w:pPr>
            <w:r>
              <w:rPr>
                <w:rFonts w:cs="Arial"/>
                <w:sz w:val="20"/>
                <w:szCs w:val="20"/>
              </w:rPr>
              <w:t>Energy Savings/Peak Demand Reduction – All Measures</w:t>
            </w:r>
          </w:p>
        </w:tc>
        <w:tc>
          <w:tcPr>
            <w:tcW w:w="7781" w:type="dxa"/>
          </w:tcPr>
          <w:p w14:paraId="11A26304" w14:textId="14009C26" w:rsidR="00D84702" w:rsidRDefault="0006116B" w:rsidP="00D8470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 cited in SCG</w:t>
            </w:r>
            <w:r w:rsidR="00D84702" w:rsidRPr="00A965B2">
              <w:rPr>
                <w:b/>
                <w:sz w:val="20"/>
                <w:szCs w:val="20"/>
              </w:rPr>
              <w:t>’s workpaper the Savings are:</w:t>
            </w:r>
          </w:p>
          <w:tbl>
            <w:tblPr>
              <w:tblStyle w:val="TableGrid1"/>
              <w:tblW w:w="4752" w:type="pct"/>
              <w:tblLayout w:type="fixed"/>
              <w:tblLook w:val="01E0" w:firstRow="1" w:lastRow="1" w:firstColumn="1" w:lastColumn="1" w:noHBand="0" w:noVBand="0"/>
            </w:tblPr>
            <w:tblGrid>
              <w:gridCol w:w="2066"/>
              <w:gridCol w:w="5114"/>
            </w:tblGrid>
            <w:tr w:rsidR="00375496" w:rsidRPr="00500C4E" w14:paraId="23B5843B" w14:textId="77777777" w:rsidTr="00AD4BB5">
              <w:trPr>
                <w:trHeight w:val="465"/>
              </w:trPr>
              <w:tc>
                <w:tcPr>
                  <w:tcW w:w="1439" w:type="pct"/>
                </w:tcPr>
                <w:p w14:paraId="7C3876E7" w14:textId="77777777" w:rsidR="00375496" w:rsidRPr="00920905" w:rsidRDefault="00375496" w:rsidP="0006116B">
                  <w:pPr>
                    <w:rPr>
                      <w:b/>
                      <w:szCs w:val="20"/>
                    </w:rPr>
                  </w:pPr>
                  <w:bookmarkStart w:id="3" w:name="_Hlk501714429"/>
                  <w:r w:rsidRPr="00500C4E">
                    <w:rPr>
                      <w:szCs w:val="20"/>
                    </w:rPr>
                    <w:t>Measure Codes</w:t>
                  </w:r>
                </w:p>
              </w:tc>
              <w:tc>
                <w:tcPr>
                  <w:tcW w:w="3561" w:type="pct"/>
                </w:tcPr>
                <w:p w14:paraId="33216892" w14:textId="0E71DD98" w:rsidR="00375496" w:rsidRPr="0006116B" w:rsidRDefault="00375496" w:rsidP="0006116B">
                  <w:pPr>
                    <w:rPr>
                      <w:rFonts w:cs="Arial"/>
                      <w:bCs/>
                      <w:szCs w:val="20"/>
                    </w:rPr>
                  </w:pPr>
                </w:p>
              </w:tc>
            </w:tr>
            <w:tr w:rsidR="00375496" w:rsidRPr="00500C4E" w14:paraId="65A20FB2" w14:textId="77777777" w:rsidTr="00AD4BB5">
              <w:trPr>
                <w:trHeight w:val="465"/>
              </w:trPr>
              <w:tc>
                <w:tcPr>
                  <w:tcW w:w="1439" w:type="pct"/>
                </w:tcPr>
                <w:p w14:paraId="059E8116" w14:textId="77777777" w:rsidR="00375496" w:rsidRPr="00500C4E" w:rsidRDefault="00375496" w:rsidP="0006116B">
                  <w:pPr>
                    <w:rPr>
                      <w:szCs w:val="20"/>
                    </w:rPr>
                  </w:pPr>
                  <w:r w:rsidRPr="00500C4E">
                    <w:rPr>
                      <w:szCs w:val="20"/>
                    </w:rPr>
                    <w:t>Measure Description</w:t>
                  </w:r>
                </w:p>
              </w:tc>
              <w:tc>
                <w:tcPr>
                  <w:tcW w:w="3561" w:type="pct"/>
                </w:tcPr>
                <w:p w14:paraId="2B1BD408" w14:textId="7E3B628A" w:rsidR="00375496" w:rsidRPr="00246AFC" w:rsidRDefault="00375496" w:rsidP="0006116B">
                  <w:pPr>
                    <w:rPr>
                      <w:rFonts w:cs="Arial"/>
                      <w:szCs w:val="20"/>
                    </w:rPr>
                  </w:pPr>
                  <w:r>
                    <w:rPr>
                      <w:rFonts w:cs="Arial"/>
                      <w:szCs w:val="20"/>
                    </w:rPr>
                    <w:t>Steam Trap Replacement – Commercial 12-24 h</w:t>
                  </w:r>
                  <w:r w:rsidR="007530C2">
                    <w:rPr>
                      <w:rFonts w:cs="Arial"/>
                      <w:szCs w:val="20"/>
                    </w:rPr>
                    <w:t>ou</w:t>
                  </w:r>
                  <w:r>
                    <w:rPr>
                      <w:rFonts w:cs="Arial"/>
                      <w:szCs w:val="20"/>
                    </w:rPr>
                    <w:t>r/day</w:t>
                  </w:r>
                </w:p>
              </w:tc>
            </w:tr>
            <w:tr w:rsidR="00375496" w:rsidRPr="00500C4E" w14:paraId="63F1D0E1" w14:textId="77777777" w:rsidTr="00AD4BB5">
              <w:trPr>
                <w:trHeight w:val="465"/>
              </w:trPr>
              <w:tc>
                <w:tcPr>
                  <w:tcW w:w="1439" w:type="pct"/>
                </w:tcPr>
                <w:p w14:paraId="154102DF" w14:textId="77777777" w:rsidR="00375496" w:rsidRPr="00500C4E" w:rsidRDefault="00375496" w:rsidP="0006116B">
                  <w:pPr>
                    <w:rPr>
                      <w:szCs w:val="20"/>
                    </w:rPr>
                  </w:pPr>
                  <w:r w:rsidRPr="00500C4E">
                    <w:rPr>
                      <w:szCs w:val="20"/>
                    </w:rPr>
                    <w:t>Base Case Description</w:t>
                  </w:r>
                </w:p>
              </w:tc>
              <w:tc>
                <w:tcPr>
                  <w:tcW w:w="3561" w:type="pct"/>
                </w:tcPr>
                <w:p w14:paraId="50F50C9D" w14:textId="2238EBA0" w:rsidR="00375496" w:rsidRPr="00246AFC" w:rsidRDefault="00375496" w:rsidP="0006116B">
                  <w:pPr>
                    <w:rPr>
                      <w:rFonts w:cs="Arial"/>
                      <w:szCs w:val="20"/>
                    </w:rPr>
                  </w:pPr>
                  <w:r>
                    <w:rPr>
                      <w:rFonts w:cs="Arial"/>
                      <w:szCs w:val="20"/>
                    </w:rPr>
                    <w:t>Failed existing steam traps</w:t>
                  </w:r>
                </w:p>
              </w:tc>
            </w:tr>
            <w:tr w:rsidR="00375496" w:rsidRPr="00500C4E" w14:paraId="20A65EAF" w14:textId="77777777" w:rsidTr="00AD4BB5">
              <w:trPr>
                <w:trHeight w:val="465"/>
              </w:trPr>
              <w:tc>
                <w:tcPr>
                  <w:tcW w:w="1439" w:type="pct"/>
                </w:tcPr>
                <w:p w14:paraId="4EE74385" w14:textId="77777777" w:rsidR="00375496" w:rsidRPr="00500C4E" w:rsidRDefault="00375496" w:rsidP="0006116B">
                  <w:pPr>
                    <w:rPr>
                      <w:szCs w:val="20"/>
                    </w:rPr>
                  </w:pPr>
                  <w:r w:rsidRPr="00500C4E">
                    <w:rPr>
                      <w:szCs w:val="20"/>
                    </w:rPr>
                    <w:t>Units</w:t>
                  </w:r>
                </w:p>
              </w:tc>
              <w:tc>
                <w:tcPr>
                  <w:tcW w:w="3561" w:type="pct"/>
                </w:tcPr>
                <w:p w14:paraId="65F26F58" w14:textId="30BA5886" w:rsidR="00375496" w:rsidRPr="00246AFC" w:rsidRDefault="00375496" w:rsidP="0006116B">
                  <w:pPr>
                    <w:rPr>
                      <w:rFonts w:cs="Arial"/>
                      <w:szCs w:val="20"/>
                    </w:rPr>
                  </w:pPr>
                  <w:r>
                    <w:rPr>
                      <w:rFonts w:cs="Arial"/>
                      <w:szCs w:val="20"/>
                    </w:rPr>
                    <w:t>Steam trap</w:t>
                  </w:r>
                </w:p>
              </w:tc>
            </w:tr>
            <w:tr w:rsidR="00375496" w:rsidRPr="00500C4E" w14:paraId="676474BB" w14:textId="77777777" w:rsidTr="00AD4BB5">
              <w:trPr>
                <w:trHeight w:val="465"/>
              </w:trPr>
              <w:tc>
                <w:tcPr>
                  <w:tcW w:w="1439" w:type="pct"/>
                </w:tcPr>
                <w:p w14:paraId="298B2B1B" w14:textId="77777777" w:rsidR="00375496" w:rsidRPr="00920905" w:rsidRDefault="00375496" w:rsidP="0006116B">
                  <w:pPr>
                    <w:rPr>
                      <w:rStyle w:val="Strong1"/>
                    </w:rPr>
                  </w:pPr>
                  <w:r w:rsidRPr="00500C4E">
                    <w:rPr>
                      <w:szCs w:val="20"/>
                    </w:rPr>
                    <w:t>Energy Savings</w:t>
                  </w:r>
                </w:p>
              </w:tc>
              <w:tc>
                <w:tcPr>
                  <w:tcW w:w="3561" w:type="pct"/>
                </w:tcPr>
                <w:p w14:paraId="7D2A0901" w14:textId="77F146F0" w:rsidR="00375496" w:rsidRDefault="00AD4BB5" w:rsidP="0006116B">
                  <w:pPr>
                    <w:rPr>
                      <w:rFonts w:cs="Arial"/>
                      <w:szCs w:val="20"/>
                    </w:rPr>
                  </w:pPr>
                  <w:r>
                    <w:rPr>
                      <w:rFonts w:ascii="Calibri" w:hAnsi="Calibri" w:cs="Calibri"/>
                      <w:bCs/>
                      <w:szCs w:val="20"/>
                    </w:rPr>
                    <w:t>119</w:t>
                  </w:r>
                  <w:r w:rsidR="00375496" w:rsidRPr="002D3C14">
                    <w:rPr>
                      <w:rFonts w:ascii="Calibri" w:hAnsi="Calibri" w:cs="Calibri"/>
                      <w:bCs/>
                      <w:szCs w:val="20"/>
                    </w:rPr>
                    <w:t xml:space="preserve"> </w:t>
                  </w:r>
                  <w:proofErr w:type="spellStart"/>
                  <w:r w:rsidR="00375496" w:rsidRPr="002D3C14">
                    <w:rPr>
                      <w:rFonts w:cs="Arial"/>
                      <w:szCs w:val="20"/>
                    </w:rPr>
                    <w:t>therms</w:t>
                  </w:r>
                  <w:proofErr w:type="spellEnd"/>
                  <w:r w:rsidR="00375496" w:rsidRPr="002D3C14">
                    <w:rPr>
                      <w:rFonts w:cs="Arial"/>
                      <w:szCs w:val="20"/>
                    </w:rPr>
                    <w:t>/y</w:t>
                  </w:r>
                  <w:r w:rsidR="007530C2">
                    <w:rPr>
                      <w:rFonts w:cs="Arial"/>
                      <w:szCs w:val="20"/>
                    </w:rPr>
                    <w:t>ea</w:t>
                  </w:r>
                  <w:r w:rsidR="00375496" w:rsidRPr="002D3C14">
                    <w:rPr>
                      <w:rFonts w:cs="Arial"/>
                      <w:szCs w:val="20"/>
                    </w:rPr>
                    <w:t>r</w:t>
                  </w:r>
                </w:p>
                <w:p w14:paraId="50A8662C" w14:textId="42092509" w:rsidR="00375496" w:rsidRPr="002D3C14" w:rsidRDefault="00375496" w:rsidP="0006116B">
                  <w:pPr>
                    <w:rPr>
                      <w:rFonts w:cs="Arial"/>
                      <w:szCs w:val="20"/>
                    </w:rPr>
                  </w:pPr>
                </w:p>
              </w:tc>
            </w:tr>
          </w:tbl>
          <w:bookmarkEnd w:id="3"/>
          <w:p w14:paraId="11A26336" w14:textId="6B620750" w:rsidR="00B84663" w:rsidRPr="00555671" w:rsidRDefault="008E699A" w:rsidP="00814F9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A61271" w14:paraId="11A2634B" w14:textId="77777777" w:rsidTr="00D21A97">
        <w:trPr>
          <w:cantSplit/>
        </w:trPr>
        <w:tc>
          <w:tcPr>
            <w:tcW w:w="1795" w:type="dxa"/>
            <w:vAlign w:val="center"/>
          </w:tcPr>
          <w:p w14:paraId="11A26338" w14:textId="77777777" w:rsidR="00A61271" w:rsidRPr="001D77F7" w:rsidRDefault="00A61271" w:rsidP="002A7EFE">
            <w:pPr>
              <w:rPr>
                <w:b/>
              </w:rPr>
            </w:pPr>
            <w:r w:rsidRPr="001D77F7">
              <w:rPr>
                <w:b/>
              </w:rPr>
              <w:t>Section 3. Load Shapes</w:t>
            </w:r>
          </w:p>
        </w:tc>
        <w:tc>
          <w:tcPr>
            <w:tcW w:w="7781" w:type="dxa"/>
          </w:tcPr>
          <w:p w14:paraId="63E36E27" w14:textId="77777777" w:rsidR="0027410B" w:rsidRDefault="0027410B" w:rsidP="0051536D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11A2634A" w14:textId="6F50BA12" w:rsidR="00AD4BB5" w:rsidRPr="00476F40" w:rsidRDefault="00AD4BB5" w:rsidP="0051536D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Not applicable.</w:t>
            </w:r>
          </w:p>
        </w:tc>
      </w:tr>
      <w:tr w:rsidR="00A61271" w14:paraId="11A2634F" w14:textId="77777777" w:rsidTr="00D21A97">
        <w:trPr>
          <w:cantSplit/>
        </w:trPr>
        <w:tc>
          <w:tcPr>
            <w:tcW w:w="1795" w:type="dxa"/>
            <w:vAlign w:val="center"/>
          </w:tcPr>
          <w:p w14:paraId="11A2634C" w14:textId="77777777" w:rsidR="00A61271" w:rsidRPr="001D77F7" w:rsidRDefault="00A61271" w:rsidP="002A7EFE">
            <w:pPr>
              <w:rPr>
                <w:b/>
              </w:rPr>
            </w:pPr>
            <w:r w:rsidRPr="001D77F7">
              <w:rPr>
                <w:b/>
              </w:rPr>
              <w:t>Section 4. Costs</w:t>
            </w:r>
          </w:p>
        </w:tc>
        <w:tc>
          <w:tcPr>
            <w:tcW w:w="7781" w:type="dxa"/>
          </w:tcPr>
          <w:p w14:paraId="11A2634E" w14:textId="2B47AE2A" w:rsidR="00A61271" w:rsidRPr="00D22F63" w:rsidRDefault="007B0A6F" w:rsidP="007530C2">
            <w:pPr>
              <w:rPr>
                <w:sz w:val="20"/>
                <w:szCs w:val="20"/>
              </w:rPr>
            </w:pPr>
            <w:r w:rsidRPr="00A965B2">
              <w:rPr>
                <w:sz w:val="20"/>
                <w:szCs w:val="20"/>
              </w:rPr>
              <w:t xml:space="preserve">The Gross Measure Cost is obtained from costs documented by </w:t>
            </w:r>
            <w:r w:rsidR="00D22F63">
              <w:rPr>
                <w:sz w:val="20"/>
                <w:szCs w:val="20"/>
              </w:rPr>
              <w:t>SCG wo</w:t>
            </w:r>
            <w:r w:rsidR="00AD4BB5">
              <w:rPr>
                <w:sz w:val="20"/>
                <w:szCs w:val="20"/>
              </w:rPr>
              <w:t xml:space="preserve">rk paper </w:t>
            </w:r>
            <w:r w:rsidR="00AD4BB5" w:rsidRPr="007530C2">
              <w:rPr>
                <w:sz w:val="20"/>
                <w:szCs w:val="20"/>
              </w:rPr>
              <w:t>“SCGWP100310A Rev</w:t>
            </w:r>
            <w:r w:rsidR="007530C2" w:rsidRPr="007530C2">
              <w:rPr>
                <w:sz w:val="20"/>
                <w:szCs w:val="20"/>
              </w:rPr>
              <w:t>10</w:t>
            </w:r>
            <w:r w:rsidR="00D22F63" w:rsidRPr="007530C2">
              <w:rPr>
                <w:sz w:val="20"/>
                <w:szCs w:val="20"/>
              </w:rPr>
              <w:t>” s</w:t>
            </w:r>
            <w:r w:rsidR="00D22F63">
              <w:rPr>
                <w:sz w:val="20"/>
                <w:szCs w:val="20"/>
              </w:rPr>
              <w:t>ection 4</w:t>
            </w:r>
            <w:r w:rsidR="007530C2">
              <w:rPr>
                <w:sz w:val="20"/>
                <w:szCs w:val="20"/>
              </w:rPr>
              <w:t xml:space="preserve"> </w:t>
            </w:r>
            <w:r w:rsidR="00D22F63">
              <w:rPr>
                <w:sz w:val="20"/>
                <w:szCs w:val="20"/>
              </w:rPr>
              <w:t xml:space="preserve">- </w:t>
            </w:r>
            <w:r w:rsidR="00AD4BB5">
              <w:rPr>
                <w:sz w:val="20"/>
                <w:szCs w:val="20"/>
              </w:rPr>
              <w:t>Base Case &amp; Measure Costs</w:t>
            </w:r>
            <w:r w:rsidR="00E46364" w:rsidRPr="00A965B2">
              <w:rPr>
                <w:sz w:val="20"/>
                <w:szCs w:val="20"/>
              </w:rPr>
              <w:t xml:space="preserve">  </w:t>
            </w:r>
          </w:p>
        </w:tc>
      </w:tr>
      <w:tr w:rsidR="00A61271" w:rsidRPr="00393EC8" w14:paraId="11A26352" w14:textId="77777777" w:rsidTr="00D21A97">
        <w:trPr>
          <w:cantSplit/>
        </w:trPr>
        <w:tc>
          <w:tcPr>
            <w:tcW w:w="1795" w:type="dxa"/>
          </w:tcPr>
          <w:p w14:paraId="11A26350" w14:textId="69641DFD" w:rsidR="00A61271" w:rsidRPr="00393EC8" w:rsidRDefault="00A61271" w:rsidP="00713B5F">
            <w:pPr>
              <w:rPr>
                <w:b/>
              </w:rPr>
            </w:pPr>
            <w:r w:rsidRPr="00393EC8">
              <w:rPr>
                <w:b/>
              </w:rPr>
              <w:t xml:space="preserve">Section 4.1 </w:t>
            </w:r>
            <w:r w:rsidR="00695478">
              <w:rPr>
                <w:b/>
              </w:rPr>
              <w:t xml:space="preserve">Base </w:t>
            </w:r>
            <w:r w:rsidR="00713B5F">
              <w:rPr>
                <w:b/>
              </w:rPr>
              <w:t>&amp;</w:t>
            </w:r>
            <w:r w:rsidR="00695478">
              <w:rPr>
                <w:b/>
              </w:rPr>
              <w:t xml:space="preserve"> Measure Costs</w:t>
            </w:r>
          </w:p>
        </w:tc>
        <w:tc>
          <w:tcPr>
            <w:tcW w:w="7781" w:type="dxa"/>
          </w:tcPr>
          <w:p w14:paraId="11A26351" w14:textId="77777777" w:rsidR="00A61271" w:rsidRPr="00393EC8" w:rsidRDefault="00A61271" w:rsidP="002A7EFE">
            <w:pPr>
              <w:rPr>
                <w:b/>
              </w:rPr>
            </w:pPr>
          </w:p>
        </w:tc>
      </w:tr>
      <w:tr w:rsidR="00E05871" w14:paraId="11A26355" w14:textId="77777777" w:rsidTr="00D21A97">
        <w:trPr>
          <w:cantSplit/>
        </w:trPr>
        <w:tc>
          <w:tcPr>
            <w:tcW w:w="1795" w:type="dxa"/>
          </w:tcPr>
          <w:p w14:paraId="11A26353" w14:textId="77777777" w:rsidR="00E05871" w:rsidRPr="00822B6F" w:rsidRDefault="00E05871" w:rsidP="008B3167">
            <w:pPr>
              <w:jc w:val="center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Base Cost</w:t>
            </w:r>
          </w:p>
        </w:tc>
        <w:tc>
          <w:tcPr>
            <w:tcW w:w="7781" w:type="dxa"/>
          </w:tcPr>
          <w:p w14:paraId="40482157" w14:textId="67B3DFF6" w:rsidR="00D22F63" w:rsidRDefault="00DF4E40" w:rsidP="00E0587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Base case cost is $0.00</w:t>
            </w:r>
          </w:p>
          <w:p w14:paraId="11A26354" w14:textId="51479D19" w:rsidR="00E05871" w:rsidRDefault="00E05871" w:rsidP="00E0587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D22F63" w14:paraId="11A2635B" w14:textId="77777777" w:rsidTr="00D21A97">
        <w:trPr>
          <w:cantSplit/>
        </w:trPr>
        <w:tc>
          <w:tcPr>
            <w:tcW w:w="1795" w:type="dxa"/>
          </w:tcPr>
          <w:p w14:paraId="11A26359" w14:textId="77777777" w:rsidR="00D22F63" w:rsidRPr="00822B6F" w:rsidRDefault="00D22F63" w:rsidP="00D22F63">
            <w:pPr>
              <w:jc w:val="center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Measure Cost</w:t>
            </w:r>
          </w:p>
        </w:tc>
        <w:tc>
          <w:tcPr>
            <w:tcW w:w="7781" w:type="dxa"/>
            <w:vAlign w:val="center"/>
          </w:tcPr>
          <w:p w14:paraId="11A2635A" w14:textId="6C13720E" w:rsidR="00D22F63" w:rsidRPr="00476F40" w:rsidRDefault="009B5540" w:rsidP="00D22F63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Gross measure cost is $28</w:t>
            </w:r>
            <w:r w:rsidR="007664D9">
              <w:rPr>
                <w:rFonts w:cs="Arial"/>
                <w:sz w:val="20"/>
                <w:szCs w:val="20"/>
              </w:rPr>
              <w:t>7.67 per steam trap per unit</w:t>
            </w:r>
          </w:p>
        </w:tc>
      </w:tr>
      <w:tr w:rsidR="00D22F63" w14:paraId="11A26368" w14:textId="77777777" w:rsidTr="00D21A97">
        <w:trPr>
          <w:cantSplit/>
          <w:trHeight w:val="2312"/>
        </w:trPr>
        <w:tc>
          <w:tcPr>
            <w:tcW w:w="1795" w:type="dxa"/>
          </w:tcPr>
          <w:p w14:paraId="11A26365" w14:textId="77777777" w:rsidR="00D22F63" w:rsidRDefault="00D22F63" w:rsidP="00D22F63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Incremental </w:t>
            </w:r>
          </w:p>
          <w:p w14:paraId="11A26366" w14:textId="77777777" w:rsidR="00D22F63" w:rsidRDefault="00D22F63" w:rsidP="00D22F63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Measure Cost</w:t>
            </w:r>
          </w:p>
        </w:tc>
        <w:tc>
          <w:tcPr>
            <w:tcW w:w="7781" w:type="dxa"/>
          </w:tcPr>
          <w:p w14:paraId="2A278CAC" w14:textId="0BAB1DA5" w:rsidR="00D22F63" w:rsidRDefault="00D22F63" w:rsidP="00D22F63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19D0B217" w14:textId="3684D342" w:rsidR="002A7EFE" w:rsidRDefault="00B93568" w:rsidP="002A7EF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Full</w:t>
            </w:r>
            <w:r w:rsidR="009B5540">
              <w:rPr>
                <w:rFonts w:cs="Arial"/>
                <w:sz w:val="20"/>
                <w:szCs w:val="20"/>
              </w:rPr>
              <w:t xml:space="preserve"> measure cost is $28</w:t>
            </w:r>
            <w:r w:rsidR="007664D9">
              <w:rPr>
                <w:rFonts w:cs="Arial"/>
                <w:sz w:val="20"/>
                <w:szCs w:val="20"/>
              </w:rPr>
              <w:t>7.67 per steam t</w:t>
            </w:r>
            <w:r w:rsidR="009B5540">
              <w:rPr>
                <w:rFonts w:cs="Arial"/>
                <w:sz w:val="20"/>
                <w:szCs w:val="20"/>
              </w:rPr>
              <w:t>rap per unit (i.e., Material $22</w:t>
            </w:r>
            <w:r w:rsidR="007664D9">
              <w:rPr>
                <w:rFonts w:cs="Arial"/>
                <w:sz w:val="20"/>
                <w:szCs w:val="20"/>
              </w:rPr>
              <w:t>3</w:t>
            </w:r>
            <w:r w:rsidR="007530C2">
              <w:rPr>
                <w:rFonts w:cs="Arial"/>
                <w:sz w:val="20"/>
                <w:szCs w:val="20"/>
              </w:rPr>
              <w:t>,</w:t>
            </w:r>
            <w:r w:rsidR="007664D9">
              <w:rPr>
                <w:rFonts w:cs="Arial"/>
                <w:sz w:val="20"/>
                <w:szCs w:val="20"/>
              </w:rPr>
              <w:t xml:space="preserve"> Labor $64.67*)</w:t>
            </w:r>
          </w:p>
          <w:p w14:paraId="45ED0D06" w14:textId="77777777" w:rsidR="007664D9" w:rsidRDefault="007664D9" w:rsidP="002A7EF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11A26367" w14:textId="6432A35E" w:rsidR="007664D9" w:rsidRPr="007664D9" w:rsidRDefault="007664D9" w:rsidP="007664D9">
            <w:pPr>
              <w:pStyle w:val="ListParagraph"/>
              <w:numPr>
                <w:ilvl w:val="0"/>
                <w:numId w:val="19"/>
              </w:num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Per </w:t>
            </w:r>
            <w:proofErr w:type="spellStart"/>
            <w:r>
              <w:rPr>
                <w:rFonts w:cs="Arial"/>
                <w:sz w:val="20"/>
                <w:szCs w:val="20"/>
              </w:rPr>
              <w:t>RSMeans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Building Construction Cost Data 2017 adjusted by Location Factor of 1.408 and Labor Factor of 1.267)</w:t>
            </w:r>
          </w:p>
        </w:tc>
      </w:tr>
    </w:tbl>
    <w:p w14:paraId="11A26370" w14:textId="594038C6" w:rsidR="00C8526F" w:rsidRDefault="00C8526F" w:rsidP="00567FEF"/>
    <w:p w14:paraId="11A26557" w14:textId="4B01C352" w:rsidR="00C8526F" w:rsidRPr="0089014B" w:rsidRDefault="00C8526F" w:rsidP="002A7EFE">
      <w:pPr>
        <w:rPr>
          <w:rFonts w:cstheme="minorHAnsi"/>
          <w:szCs w:val="22"/>
        </w:rPr>
      </w:pPr>
    </w:p>
    <w:p w14:paraId="43DABB84" w14:textId="77777777" w:rsidR="00364ED7" w:rsidRDefault="00364ED7" w:rsidP="00567FEF">
      <w:bookmarkStart w:id="4" w:name="_GoBack"/>
      <w:bookmarkEnd w:id="4"/>
    </w:p>
    <w:sectPr w:rsidR="00364ED7" w:rsidSect="002A7EFE">
      <w:footerReference w:type="default" r:id="rId14"/>
      <w:pgSz w:w="12240" w:h="15840"/>
      <w:pgMar w:top="1440" w:right="1440" w:bottom="155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903114" w14:textId="77777777" w:rsidR="0036128E" w:rsidRDefault="0036128E" w:rsidP="00FE520B">
      <w:r>
        <w:separator/>
      </w:r>
    </w:p>
  </w:endnote>
  <w:endnote w:type="continuationSeparator" w:id="0">
    <w:p w14:paraId="126A50AC" w14:textId="77777777" w:rsidR="0036128E" w:rsidRDefault="0036128E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26568" w14:textId="080A0190" w:rsidR="002A7EFE" w:rsidRPr="00241A1F" w:rsidRDefault="002A7EFE" w:rsidP="00241A1F">
    <w:pPr>
      <w:pStyle w:val="Revnumber"/>
      <w:rPr>
        <w:b w:val="0"/>
        <w:szCs w:val="22"/>
      </w:rPr>
    </w:pPr>
    <w:r>
      <w:rPr>
        <w:b w:val="0"/>
      </w:rPr>
      <w:t>Workpaper PGECOFST129, Revision 0</w:t>
    </w:r>
    <w:r>
      <w:rPr>
        <w:b w:val="0"/>
      </w:rPr>
      <w:tab/>
    </w:r>
    <w:r>
      <w:rPr>
        <w:b w:val="0"/>
      </w:rPr>
      <w:tab/>
      <w:t>June 1, 2018</w:t>
    </w:r>
  </w:p>
  <w:p w14:paraId="11A26569" w14:textId="050C9A65" w:rsidR="002A7EFE" w:rsidRPr="009500DC" w:rsidRDefault="002A7EFE" w:rsidP="00241A1F">
    <w:pPr>
      <w:pStyle w:val="Revnumber"/>
      <w:tabs>
        <w:tab w:val="left" w:pos="5274"/>
      </w:tabs>
    </w:pPr>
    <w:r>
      <w:rPr>
        <w:b w:val="0"/>
      </w:rPr>
      <w:t>Pacific Gas &amp; Electric</w:t>
    </w:r>
    <w:r>
      <w:rPr>
        <w:b w:val="0"/>
      </w:rPr>
      <w:tab/>
    </w:r>
    <w:r w:rsidRPr="00C7215A">
      <w:rPr>
        <w:b w:val="0"/>
      </w:rPr>
      <w:fldChar w:fldCharType="begin"/>
    </w:r>
    <w:r w:rsidRPr="00C7215A">
      <w:rPr>
        <w:b w:val="0"/>
      </w:rPr>
      <w:instrText xml:space="preserve"> PAGE   \* MERGEFORMAT </w:instrText>
    </w:r>
    <w:r w:rsidRPr="00C7215A">
      <w:rPr>
        <w:b w:val="0"/>
      </w:rPr>
      <w:fldChar w:fldCharType="separate"/>
    </w:r>
    <w:r>
      <w:rPr>
        <w:b w:val="0"/>
        <w:noProof/>
      </w:rPr>
      <w:t>6</w:t>
    </w:r>
    <w:r w:rsidRPr="00C7215A">
      <w:rPr>
        <w:b w:val="0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2656A" w14:textId="4A7C1AAB" w:rsidR="002A7EFE" w:rsidRPr="00713B5F" w:rsidRDefault="00E302B5" w:rsidP="00757232">
    <w:pPr>
      <w:pStyle w:val="Revnumber"/>
      <w:rPr>
        <w:sz w:val="36"/>
        <w:szCs w:val="36"/>
      </w:rPr>
    </w:pPr>
    <w:r>
      <w:rPr>
        <w:sz w:val="36"/>
        <w:szCs w:val="36"/>
      </w:rPr>
      <w:t>March 4</w:t>
    </w:r>
    <w:r w:rsidR="00D21A97" w:rsidRPr="00713B5F">
      <w:rPr>
        <w:sz w:val="36"/>
        <w:szCs w:val="36"/>
      </w:rPr>
      <w:t>, 2019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2656D" w14:textId="4992FEA0" w:rsidR="00C750F7" w:rsidRPr="009500DC" w:rsidRDefault="00F72493" w:rsidP="009500D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r>
      <w:rPr>
        <w:rFonts w:cstheme="minorHAnsi"/>
        <w:b/>
        <w:sz w:val="20"/>
        <w:szCs w:val="20"/>
      </w:rPr>
      <w:t>PGECOPRO114</w:t>
    </w:r>
    <w:r w:rsidR="00482172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-21132786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9B1F47">
          <w:rPr>
            <w:rFonts w:cstheme="minorHAnsi"/>
            <w:b/>
            <w:sz w:val="20"/>
            <w:szCs w:val="20"/>
          </w:rPr>
          <w:t xml:space="preserve">Revision </w:t>
        </w:r>
        <w:r w:rsidR="00E302B5">
          <w:rPr>
            <w:rFonts w:cstheme="minorHAnsi"/>
            <w:b/>
            <w:sz w:val="20"/>
            <w:szCs w:val="20"/>
          </w:rPr>
          <w:t>0</w:t>
        </w:r>
      </w:sdtContent>
    </w:sdt>
    <w:r w:rsidR="00482172" w:rsidRPr="009500DC">
      <w:rPr>
        <w:rFonts w:cstheme="minorHAnsi"/>
        <w:b/>
        <w:sz w:val="20"/>
        <w:szCs w:val="20"/>
      </w:rPr>
      <w:tab/>
    </w:r>
    <w:r w:rsidR="00482172" w:rsidRPr="009500DC">
      <w:rPr>
        <w:rFonts w:cstheme="minorHAnsi"/>
        <w:b/>
        <w:sz w:val="20"/>
        <w:szCs w:val="20"/>
      </w:rPr>
      <w:fldChar w:fldCharType="begin"/>
    </w:r>
    <w:r w:rsidR="00482172" w:rsidRPr="009500DC">
      <w:rPr>
        <w:rFonts w:cstheme="minorHAnsi"/>
        <w:b/>
        <w:sz w:val="20"/>
        <w:szCs w:val="20"/>
      </w:rPr>
      <w:instrText xml:space="preserve"> PAGE   \* MERGEFORMAT </w:instrText>
    </w:r>
    <w:r w:rsidR="00482172" w:rsidRPr="009500DC">
      <w:rPr>
        <w:rFonts w:cstheme="minorHAnsi"/>
        <w:b/>
        <w:sz w:val="20"/>
        <w:szCs w:val="20"/>
      </w:rPr>
      <w:fldChar w:fldCharType="separate"/>
    </w:r>
    <w:r w:rsidR="00820C53">
      <w:rPr>
        <w:rFonts w:cstheme="minorHAnsi"/>
        <w:b/>
        <w:noProof/>
        <w:sz w:val="20"/>
        <w:szCs w:val="20"/>
      </w:rPr>
      <w:t>2</w:t>
    </w:r>
    <w:r w:rsidR="00482172" w:rsidRPr="009500DC">
      <w:rPr>
        <w:rFonts w:cstheme="minorHAnsi"/>
        <w:b/>
        <w:noProof/>
        <w:sz w:val="20"/>
        <w:szCs w:val="20"/>
      </w:rPr>
      <w:fldChar w:fldCharType="end"/>
    </w:r>
    <w:r w:rsidR="00482172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1618402214"/>
        <w:dataBinding w:prefixMappings="xmlns:ns0='http://schemas.microsoft.com/office/2006/coverPageProps' " w:xpath="/ns0:CoverPageProperties[1]/ns0:PublishDate[1]" w:storeItemID="{55AF091B-3C7A-41E3-B477-F2FDAA23CFDA}"/>
        <w:date w:fullDate="2019-01-28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D21A97">
          <w:rPr>
            <w:rFonts w:cstheme="minorHAnsi"/>
            <w:b/>
            <w:sz w:val="20"/>
            <w:szCs w:val="20"/>
          </w:rPr>
          <w:t>January 28, 2019</w:t>
        </w:r>
      </w:sdtContent>
    </w:sdt>
  </w:p>
  <w:p w14:paraId="11A2656E" w14:textId="77777777" w:rsidR="00C750F7" w:rsidRPr="009500DC" w:rsidRDefault="0036128E" w:rsidP="009500D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-368612514"/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AE3EC5">
          <w:rPr>
            <w:rFonts w:cstheme="minorHAnsi"/>
            <w:b/>
            <w:sz w:val="20"/>
            <w:szCs w:val="20"/>
          </w:rPr>
          <w:t xml:space="preserve">     </w:t>
        </w:r>
      </w:sdtContent>
    </w:sdt>
  </w:p>
  <w:p w14:paraId="11A2656F" w14:textId="77777777" w:rsidR="00C750F7" w:rsidRDefault="0036128E"/>
  <w:p w14:paraId="11A26570" w14:textId="77777777" w:rsidR="00C750F7" w:rsidRDefault="0036128E"/>
  <w:p w14:paraId="01D3F591" w14:textId="77777777" w:rsidR="00417843" w:rsidRDefault="0041784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88C10F" w14:textId="77777777" w:rsidR="0036128E" w:rsidRDefault="0036128E" w:rsidP="00FE520B">
      <w:r>
        <w:separator/>
      </w:r>
    </w:p>
  </w:footnote>
  <w:footnote w:type="continuationSeparator" w:id="0">
    <w:p w14:paraId="4D929112" w14:textId="77777777" w:rsidR="0036128E" w:rsidRDefault="0036128E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D565F"/>
    <w:multiLevelType w:val="hybridMultilevel"/>
    <w:tmpl w:val="888CE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8306D"/>
    <w:multiLevelType w:val="hybridMultilevel"/>
    <w:tmpl w:val="8FA4F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60C73"/>
    <w:multiLevelType w:val="hybridMultilevel"/>
    <w:tmpl w:val="4738B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97183"/>
    <w:multiLevelType w:val="hybridMultilevel"/>
    <w:tmpl w:val="0624D7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959735B"/>
    <w:multiLevelType w:val="hybridMultilevel"/>
    <w:tmpl w:val="8B781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73A71"/>
    <w:multiLevelType w:val="multilevel"/>
    <w:tmpl w:val="8AB81EBE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4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444676"/>
    <w:multiLevelType w:val="hybridMultilevel"/>
    <w:tmpl w:val="4BB03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D603CA"/>
    <w:multiLevelType w:val="hybridMultilevel"/>
    <w:tmpl w:val="0F1C04C2"/>
    <w:lvl w:ilvl="0" w:tplc="1ECAA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0907F1"/>
    <w:multiLevelType w:val="hybridMultilevel"/>
    <w:tmpl w:val="920ECDAA"/>
    <w:lvl w:ilvl="0" w:tplc="3E00CF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436E15C8"/>
    <w:multiLevelType w:val="hybridMultilevel"/>
    <w:tmpl w:val="849E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CF5896"/>
    <w:multiLevelType w:val="hybridMultilevel"/>
    <w:tmpl w:val="348A011E"/>
    <w:lvl w:ilvl="0" w:tplc="D0BE858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8A06F7"/>
    <w:multiLevelType w:val="hybridMultilevel"/>
    <w:tmpl w:val="EDD2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105C9F"/>
    <w:multiLevelType w:val="hybridMultilevel"/>
    <w:tmpl w:val="38CC48DA"/>
    <w:lvl w:ilvl="0" w:tplc="040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9" w15:restartNumberingAfterBreak="0">
    <w:nsid w:val="56235535"/>
    <w:multiLevelType w:val="hybridMultilevel"/>
    <w:tmpl w:val="1B0853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6D8678E"/>
    <w:multiLevelType w:val="hybridMultilevel"/>
    <w:tmpl w:val="AF76E458"/>
    <w:lvl w:ilvl="0" w:tplc="F1947144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A20419B"/>
    <w:multiLevelType w:val="hybridMultilevel"/>
    <w:tmpl w:val="1660A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A61D0"/>
    <w:multiLevelType w:val="hybridMultilevel"/>
    <w:tmpl w:val="50CC3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EB74B8"/>
    <w:multiLevelType w:val="hybridMultilevel"/>
    <w:tmpl w:val="EEF6FA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CA47ADA"/>
    <w:multiLevelType w:val="hybridMultilevel"/>
    <w:tmpl w:val="A6245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8E165E"/>
    <w:multiLevelType w:val="hybridMultilevel"/>
    <w:tmpl w:val="42E6D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0"/>
  </w:num>
  <w:num w:numId="5">
    <w:abstractNumId w:val="15"/>
  </w:num>
  <w:num w:numId="6">
    <w:abstractNumId w:val="7"/>
  </w:num>
  <w:num w:numId="7">
    <w:abstractNumId w:val="24"/>
  </w:num>
  <w:num w:numId="8">
    <w:abstractNumId w:val="17"/>
  </w:num>
  <w:num w:numId="9">
    <w:abstractNumId w:val="8"/>
  </w:num>
  <w:num w:numId="10">
    <w:abstractNumId w:val="19"/>
  </w:num>
  <w:num w:numId="11">
    <w:abstractNumId w:val="23"/>
  </w:num>
  <w:num w:numId="12">
    <w:abstractNumId w:val="14"/>
  </w:num>
  <w:num w:numId="13">
    <w:abstractNumId w:val="25"/>
  </w:num>
  <w:num w:numId="14">
    <w:abstractNumId w:val="13"/>
  </w:num>
  <w:num w:numId="15">
    <w:abstractNumId w:val="26"/>
  </w:num>
  <w:num w:numId="16">
    <w:abstractNumId w:val="16"/>
  </w:num>
  <w:num w:numId="17">
    <w:abstractNumId w:val="20"/>
  </w:num>
  <w:num w:numId="18">
    <w:abstractNumId w:val="18"/>
  </w:num>
  <w:num w:numId="19">
    <w:abstractNumId w:val="11"/>
  </w:num>
  <w:num w:numId="20">
    <w:abstractNumId w:val="22"/>
  </w:num>
  <w:num w:numId="21">
    <w:abstractNumId w:val="9"/>
  </w:num>
  <w:num w:numId="22">
    <w:abstractNumId w:val="1"/>
  </w:num>
  <w:num w:numId="23">
    <w:abstractNumId w:val="2"/>
  </w:num>
  <w:num w:numId="24">
    <w:abstractNumId w:val="21"/>
  </w:num>
  <w:num w:numId="25">
    <w:abstractNumId w:val="0"/>
  </w:num>
  <w:num w:numId="26">
    <w:abstractNumId w:val="12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17C6"/>
    <w:rsid w:val="00004D4E"/>
    <w:rsid w:val="00023C32"/>
    <w:rsid w:val="00026262"/>
    <w:rsid w:val="00031221"/>
    <w:rsid w:val="0003137E"/>
    <w:rsid w:val="00031BA0"/>
    <w:rsid w:val="00034268"/>
    <w:rsid w:val="000371AA"/>
    <w:rsid w:val="00041DA6"/>
    <w:rsid w:val="00052743"/>
    <w:rsid w:val="00052CE4"/>
    <w:rsid w:val="0006116B"/>
    <w:rsid w:val="00067315"/>
    <w:rsid w:val="00067873"/>
    <w:rsid w:val="000719BF"/>
    <w:rsid w:val="00076614"/>
    <w:rsid w:val="00091F1E"/>
    <w:rsid w:val="000A075B"/>
    <w:rsid w:val="000B5761"/>
    <w:rsid w:val="000C13AE"/>
    <w:rsid w:val="000C5D49"/>
    <w:rsid w:val="000D4C68"/>
    <w:rsid w:val="000E19CA"/>
    <w:rsid w:val="000E2CA6"/>
    <w:rsid w:val="000E43BB"/>
    <w:rsid w:val="000F6BA3"/>
    <w:rsid w:val="000F72EF"/>
    <w:rsid w:val="00116D61"/>
    <w:rsid w:val="0012271D"/>
    <w:rsid w:val="00136994"/>
    <w:rsid w:val="00143843"/>
    <w:rsid w:val="00160E47"/>
    <w:rsid w:val="001752E5"/>
    <w:rsid w:val="00194466"/>
    <w:rsid w:val="001A11C1"/>
    <w:rsid w:val="001A34A6"/>
    <w:rsid w:val="001A4875"/>
    <w:rsid w:val="001B1C8A"/>
    <w:rsid w:val="001B5D6C"/>
    <w:rsid w:val="001C3663"/>
    <w:rsid w:val="001D0AB9"/>
    <w:rsid w:val="001D30D2"/>
    <w:rsid w:val="001D57D7"/>
    <w:rsid w:val="001D6A64"/>
    <w:rsid w:val="001E5195"/>
    <w:rsid w:val="001F1328"/>
    <w:rsid w:val="001F5504"/>
    <w:rsid w:val="00200084"/>
    <w:rsid w:val="00200310"/>
    <w:rsid w:val="00206565"/>
    <w:rsid w:val="00215828"/>
    <w:rsid w:val="00221E65"/>
    <w:rsid w:val="00231DE1"/>
    <w:rsid w:val="00241A1F"/>
    <w:rsid w:val="00244447"/>
    <w:rsid w:val="00250C25"/>
    <w:rsid w:val="00251156"/>
    <w:rsid w:val="00273C5F"/>
    <w:rsid w:val="0027410B"/>
    <w:rsid w:val="00282AAF"/>
    <w:rsid w:val="00291B2B"/>
    <w:rsid w:val="002A7EFE"/>
    <w:rsid w:val="002B7A10"/>
    <w:rsid w:val="002C1030"/>
    <w:rsid w:val="002C15E6"/>
    <w:rsid w:val="002D7B3E"/>
    <w:rsid w:val="002E0948"/>
    <w:rsid w:val="002E24BE"/>
    <w:rsid w:val="003065FA"/>
    <w:rsid w:val="00312768"/>
    <w:rsid w:val="00323C28"/>
    <w:rsid w:val="00324737"/>
    <w:rsid w:val="0032761E"/>
    <w:rsid w:val="00333E1B"/>
    <w:rsid w:val="00334386"/>
    <w:rsid w:val="00360CFA"/>
    <w:rsid w:val="0036128E"/>
    <w:rsid w:val="00362173"/>
    <w:rsid w:val="00364ED7"/>
    <w:rsid w:val="00375496"/>
    <w:rsid w:val="0039527A"/>
    <w:rsid w:val="003A0D2B"/>
    <w:rsid w:val="003A4277"/>
    <w:rsid w:val="003A5223"/>
    <w:rsid w:val="003A7B4E"/>
    <w:rsid w:val="003B48B2"/>
    <w:rsid w:val="003B5DCF"/>
    <w:rsid w:val="003B605F"/>
    <w:rsid w:val="003C2EE4"/>
    <w:rsid w:val="003C7A90"/>
    <w:rsid w:val="003D1C21"/>
    <w:rsid w:val="003E0DC8"/>
    <w:rsid w:val="003E122A"/>
    <w:rsid w:val="003E23F0"/>
    <w:rsid w:val="003E3894"/>
    <w:rsid w:val="003E61C8"/>
    <w:rsid w:val="003E6E57"/>
    <w:rsid w:val="003E6FA5"/>
    <w:rsid w:val="003F1F0D"/>
    <w:rsid w:val="0040026D"/>
    <w:rsid w:val="004016D3"/>
    <w:rsid w:val="00402B3D"/>
    <w:rsid w:val="00413EF4"/>
    <w:rsid w:val="00417843"/>
    <w:rsid w:val="00431763"/>
    <w:rsid w:val="00434E3C"/>
    <w:rsid w:val="00435DC7"/>
    <w:rsid w:val="00443C38"/>
    <w:rsid w:val="00443CA7"/>
    <w:rsid w:val="0044686E"/>
    <w:rsid w:val="00447B94"/>
    <w:rsid w:val="004519B4"/>
    <w:rsid w:val="00454489"/>
    <w:rsid w:val="004546FD"/>
    <w:rsid w:val="004621F7"/>
    <w:rsid w:val="00463A00"/>
    <w:rsid w:val="00463A68"/>
    <w:rsid w:val="004661A2"/>
    <w:rsid w:val="00467DB3"/>
    <w:rsid w:val="00481A9D"/>
    <w:rsid w:val="00482172"/>
    <w:rsid w:val="00492471"/>
    <w:rsid w:val="00493EB4"/>
    <w:rsid w:val="004A6215"/>
    <w:rsid w:val="004C3465"/>
    <w:rsid w:val="004C6CB2"/>
    <w:rsid w:val="004D0326"/>
    <w:rsid w:val="004D5D19"/>
    <w:rsid w:val="004E10FC"/>
    <w:rsid w:val="004E13B2"/>
    <w:rsid w:val="0051536D"/>
    <w:rsid w:val="00515A7C"/>
    <w:rsid w:val="005428E1"/>
    <w:rsid w:val="00543A62"/>
    <w:rsid w:val="00555671"/>
    <w:rsid w:val="00556B27"/>
    <w:rsid w:val="005613FC"/>
    <w:rsid w:val="00567FEF"/>
    <w:rsid w:val="00580664"/>
    <w:rsid w:val="00583D02"/>
    <w:rsid w:val="0059117D"/>
    <w:rsid w:val="00591D85"/>
    <w:rsid w:val="0059370A"/>
    <w:rsid w:val="005944C1"/>
    <w:rsid w:val="0059663B"/>
    <w:rsid w:val="005B487F"/>
    <w:rsid w:val="005B5614"/>
    <w:rsid w:val="005B5AAF"/>
    <w:rsid w:val="005C1080"/>
    <w:rsid w:val="005C1518"/>
    <w:rsid w:val="005D0040"/>
    <w:rsid w:val="005E0A85"/>
    <w:rsid w:val="005E18A1"/>
    <w:rsid w:val="005F3ECD"/>
    <w:rsid w:val="005F4AE2"/>
    <w:rsid w:val="0061099B"/>
    <w:rsid w:val="00614182"/>
    <w:rsid w:val="00632FF7"/>
    <w:rsid w:val="00636490"/>
    <w:rsid w:val="00650C31"/>
    <w:rsid w:val="00650F0D"/>
    <w:rsid w:val="00653C4B"/>
    <w:rsid w:val="00663886"/>
    <w:rsid w:val="00666474"/>
    <w:rsid w:val="00666CDA"/>
    <w:rsid w:val="00683342"/>
    <w:rsid w:val="00684ABA"/>
    <w:rsid w:val="006875B3"/>
    <w:rsid w:val="00695478"/>
    <w:rsid w:val="006A3E63"/>
    <w:rsid w:val="006A4551"/>
    <w:rsid w:val="006B0D5C"/>
    <w:rsid w:val="006D03F9"/>
    <w:rsid w:val="006D07B7"/>
    <w:rsid w:val="006F2487"/>
    <w:rsid w:val="00700C85"/>
    <w:rsid w:val="0070252D"/>
    <w:rsid w:val="00704025"/>
    <w:rsid w:val="00707736"/>
    <w:rsid w:val="00711B58"/>
    <w:rsid w:val="00713B5F"/>
    <w:rsid w:val="00727839"/>
    <w:rsid w:val="00736717"/>
    <w:rsid w:val="007406FA"/>
    <w:rsid w:val="007530C2"/>
    <w:rsid w:val="00755B4D"/>
    <w:rsid w:val="00757232"/>
    <w:rsid w:val="00762D81"/>
    <w:rsid w:val="0076481A"/>
    <w:rsid w:val="007649AC"/>
    <w:rsid w:val="007664D9"/>
    <w:rsid w:val="007812D7"/>
    <w:rsid w:val="00785AC8"/>
    <w:rsid w:val="00786CAF"/>
    <w:rsid w:val="00786E32"/>
    <w:rsid w:val="0078756E"/>
    <w:rsid w:val="00787D7C"/>
    <w:rsid w:val="00792928"/>
    <w:rsid w:val="00796174"/>
    <w:rsid w:val="00797B54"/>
    <w:rsid w:val="007A2F86"/>
    <w:rsid w:val="007B0A6F"/>
    <w:rsid w:val="007B3A5B"/>
    <w:rsid w:val="007C18B0"/>
    <w:rsid w:val="007D1F1E"/>
    <w:rsid w:val="007D3A21"/>
    <w:rsid w:val="007D6BD0"/>
    <w:rsid w:val="007E011C"/>
    <w:rsid w:val="007E66F2"/>
    <w:rsid w:val="00814F9B"/>
    <w:rsid w:val="0081521B"/>
    <w:rsid w:val="00820C53"/>
    <w:rsid w:val="008365EB"/>
    <w:rsid w:val="008428E7"/>
    <w:rsid w:val="008526AB"/>
    <w:rsid w:val="00856FA4"/>
    <w:rsid w:val="00862113"/>
    <w:rsid w:val="0086396A"/>
    <w:rsid w:val="008724D6"/>
    <w:rsid w:val="008775D7"/>
    <w:rsid w:val="00884B9C"/>
    <w:rsid w:val="0089014B"/>
    <w:rsid w:val="00893791"/>
    <w:rsid w:val="008A1557"/>
    <w:rsid w:val="008A1D1C"/>
    <w:rsid w:val="008A4224"/>
    <w:rsid w:val="008B0AE0"/>
    <w:rsid w:val="008B3167"/>
    <w:rsid w:val="008B4041"/>
    <w:rsid w:val="008C2C8A"/>
    <w:rsid w:val="008C5A8E"/>
    <w:rsid w:val="008C674A"/>
    <w:rsid w:val="008D0B3C"/>
    <w:rsid w:val="008D2A13"/>
    <w:rsid w:val="008E0850"/>
    <w:rsid w:val="008E5CD5"/>
    <w:rsid w:val="008E699A"/>
    <w:rsid w:val="008E7A0C"/>
    <w:rsid w:val="008F5DEF"/>
    <w:rsid w:val="00900302"/>
    <w:rsid w:val="00910D54"/>
    <w:rsid w:val="00920B88"/>
    <w:rsid w:val="009269CE"/>
    <w:rsid w:val="0093459A"/>
    <w:rsid w:val="0093657B"/>
    <w:rsid w:val="00936764"/>
    <w:rsid w:val="00950249"/>
    <w:rsid w:val="00957C01"/>
    <w:rsid w:val="0097295A"/>
    <w:rsid w:val="00986A83"/>
    <w:rsid w:val="009B125C"/>
    <w:rsid w:val="009B1F47"/>
    <w:rsid w:val="009B5540"/>
    <w:rsid w:val="009C3F2D"/>
    <w:rsid w:val="009C6AE8"/>
    <w:rsid w:val="009D2FCD"/>
    <w:rsid w:val="009F3770"/>
    <w:rsid w:val="00A051D9"/>
    <w:rsid w:val="00A10AA4"/>
    <w:rsid w:val="00A1253C"/>
    <w:rsid w:val="00A3401B"/>
    <w:rsid w:val="00A37F6D"/>
    <w:rsid w:val="00A42821"/>
    <w:rsid w:val="00A61271"/>
    <w:rsid w:val="00A71532"/>
    <w:rsid w:val="00A75B5B"/>
    <w:rsid w:val="00A75EDC"/>
    <w:rsid w:val="00A965B2"/>
    <w:rsid w:val="00AA2A7B"/>
    <w:rsid w:val="00AA3B68"/>
    <w:rsid w:val="00AA43C4"/>
    <w:rsid w:val="00AB6950"/>
    <w:rsid w:val="00AD0E19"/>
    <w:rsid w:val="00AD4BB5"/>
    <w:rsid w:val="00AE3EC5"/>
    <w:rsid w:val="00AF3C67"/>
    <w:rsid w:val="00B33C9D"/>
    <w:rsid w:val="00B3436F"/>
    <w:rsid w:val="00B354BF"/>
    <w:rsid w:val="00B37963"/>
    <w:rsid w:val="00B42D73"/>
    <w:rsid w:val="00B45919"/>
    <w:rsid w:val="00B471CC"/>
    <w:rsid w:val="00B47B58"/>
    <w:rsid w:val="00B57F32"/>
    <w:rsid w:val="00B61FCD"/>
    <w:rsid w:val="00B74AFF"/>
    <w:rsid w:val="00B75260"/>
    <w:rsid w:val="00B75AF4"/>
    <w:rsid w:val="00B80557"/>
    <w:rsid w:val="00B81033"/>
    <w:rsid w:val="00B818B4"/>
    <w:rsid w:val="00B84663"/>
    <w:rsid w:val="00B9234D"/>
    <w:rsid w:val="00B93568"/>
    <w:rsid w:val="00B9452E"/>
    <w:rsid w:val="00B9551F"/>
    <w:rsid w:val="00BA2F3A"/>
    <w:rsid w:val="00BA41C0"/>
    <w:rsid w:val="00BB2D80"/>
    <w:rsid w:val="00BC3EAB"/>
    <w:rsid w:val="00BC40DB"/>
    <w:rsid w:val="00BC6454"/>
    <w:rsid w:val="00BD7ED5"/>
    <w:rsid w:val="00BE6C6D"/>
    <w:rsid w:val="00BF0CB6"/>
    <w:rsid w:val="00C048F4"/>
    <w:rsid w:val="00C05797"/>
    <w:rsid w:val="00C06B9E"/>
    <w:rsid w:val="00C15B1A"/>
    <w:rsid w:val="00C15F66"/>
    <w:rsid w:val="00C228B0"/>
    <w:rsid w:val="00C23CAB"/>
    <w:rsid w:val="00C24892"/>
    <w:rsid w:val="00C414A6"/>
    <w:rsid w:val="00C44550"/>
    <w:rsid w:val="00C44E5A"/>
    <w:rsid w:val="00C462C1"/>
    <w:rsid w:val="00C54AC6"/>
    <w:rsid w:val="00C7215A"/>
    <w:rsid w:val="00C8526F"/>
    <w:rsid w:val="00C871A7"/>
    <w:rsid w:val="00CA48A0"/>
    <w:rsid w:val="00CB10BC"/>
    <w:rsid w:val="00CB5307"/>
    <w:rsid w:val="00CF01A3"/>
    <w:rsid w:val="00CF295D"/>
    <w:rsid w:val="00CF2ABA"/>
    <w:rsid w:val="00D00FCF"/>
    <w:rsid w:val="00D0497B"/>
    <w:rsid w:val="00D147CF"/>
    <w:rsid w:val="00D21A97"/>
    <w:rsid w:val="00D22F63"/>
    <w:rsid w:val="00D3336A"/>
    <w:rsid w:val="00D345A3"/>
    <w:rsid w:val="00D36099"/>
    <w:rsid w:val="00D36B0E"/>
    <w:rsid w:val="00D5110D"/>
    <w:rsid w:val="00D60240"/>
    <w:rsid w:val="00D7150D"/>
    <w:rsid w:val="00D73723"/>
    <w:rsid w:val="00D84702"/>
    <w:rsid w:val="00D87460"/>
    <w:rsid w:val="00DA5D17"/>
    <w:rsid w:val="00DB544A"/>
    <w:rsid w:val="00DB71F1"/>
    <w:rsid w:val="00DC7243"/>
    <w:rsid w:val="00DE1C5D"/>
    <w:rsid w:val="00DE364E"/>
    <w:rsid w:val="00DF4A2C"/>
    <w:rsid w:val="00DF4E40"/>
    <w:rsid w:val="00E048EA"/>
    <w:rsid w:val="00E05871"/>
    <w:rsid w:val="00E05B9C"/>
    <w:rsid w:val="00E159C8"/>
    <w:rsid w:val="00E165FC"/>
    <w:rsid w:val="00E302B5"/>
    <w:rsid w:val="00E33587"/>
    <w:rsid w:val="00E35D68"/>
    <w:rsid w:val="00E372B8"/>
    <w:rsid w:val="00E408A9"/>
    <w:rsid w:val="00E46364"/>
    <w:rsid w:val="00E52110"/>
    <w:rsid w:val="00E56CE7"/>
    <w:rsid w:val="00E6385A"/>
    <w:rsid w:val="00E6538A"/>
    <w:rsid w:val="00E6631C"/>
    <w:rsid w:val="00E733C7"/>
    <w:rsid w:val="00E7550B"/>
    <w:rsid w:val="00E76853"/>
    <w:rsid w:val="00E768E1"/>
    <w:rsid w:val="00E77099"/>
    <w:rsid w:val="00E84938"/>
    <w:rsid w:val="00E8506C"/>
    <w:rsid w:val="00E859F0"/>
    <w:rsid w:val="00EC38B0"/>
    <w:rsid w:val="00EC549F"/>
    <w:rsid w:val="00EC7A22"/>
    <w:rsid w:val="00ED043F"/>
    <w:rsid w:val="00ED3B34"/>
    <w:rsid w:val="00ED65C0"/>
    <w:rsid w:val="00EE38DA"/>
    <w:rsid w:val="00EE6CFE"/>
    <w:rsid w:val="00EF11B5"/>
    <w:rsid w:val="00EF61C8"/>
    <w:rsid w:val="00F07B2B"/>
    <w:rsid w:val="00F117C6"/>
    <w:rsid w:val="00F11BAA"/>
    <w:rsid w:val="00F40098"/>
    <w:rsid w:val="00F413B6"/>
    <w:rsid w:val="00F46211"/>
    <w:rsid w:val="00F6244F"/>
    <w:rsid w:val="00F72493"/>
    <w:rsid w:val="00F77C08"/>
    <w:rsid w:val="00F855DD"/>
    <w:rsid w:val="00FA3359"/>
    <w:rsid w:val="00FB4B16"/>
    <w:rsid w:val="00FD292E"/>
    <w:rsid w:val="00FD3D43"/>
    <w:rsid w:val="00FE1470"/>
    <w:rsid w:val="00FE520B"/>
    <w:rsid w:val="00FE636E"/>
    <w:rsid w:val="00FF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A262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0FC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5D6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D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D1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D17"/>
    <w:rPr>
      <w:rFonts w:eastAsia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D00FCF"/>
    <w:rPr>
      <w:rFonts w:ascii="Times New Roman" w:hAnsi="Times New Roman"/>
      <w:sz w:val="20"/>
      <w:szCs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D00FC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EndnoteReference">
    <w:name w:val="endnote reference"/>
    <w:semiHidden/>
    <w:rsid w:val="00D00FCF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0FCF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paragraph" w:styleId="Revision">
    <w:name w:val="Revision"/>
    <w:hidden/>
    <w:uiPriority w:val="99"/>
    <w:semiHidden/>
    <w:rsid w:val="00463A00"/>
    <w:pPr>
      <w:spacing w:after="0" w:line="240" w:lineRule="auto"/>
    </w:pPr>
    <w:rPr>
      <w:rFonts w:eastAsia="Times New Roman" w:cs="Times New Roman"/>
      <w:szCs w:val="24"/>
    </w:rPr>
  </w:style>
  <w:style w:type="table" w:styleId="TableContemporary">
    <w:name w:val="Table Contemporary"/>
    <w:aliases w:val="Table Contemporary Black Header,WP Table"/>
    <w:basedOn w:val="TableNormal"/>
    <w:rsid w:val="001D30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Reminder">
    <w:name w:val="Reminder"/>
    <w:basedOn w:val="Reminders"/>
    <w:link w:val="ReminderChar"/>
    <w:rsid w:val="00C8526F"/>
  </w:style>
  <w:style w:type="character" w:customStyle="1" w:styleId="ReminderChar">
    <w:name w:val="Reminder Char"/>
    <w:basedOn w:val="RemindersChar"/>
    <w:link w:val="Reminder"/>
    <w:rsid w:val="00C8526F"/>
    <w:rPr>
      <w:rFonts w:ascii="Trebuchet MS" w:eastAsia="Times New Roman" w:hAnsi="Trebuchet MS" w:cs="Times New Roman"/>
      <w:i/>
      <w:color w:val="FF0000"/>
      <w:szCs w:val="24"/>
    </w:rPr>
  </w:style>
  <w:style w:type="character" w:customStyle="1" w:styleId="Strong1">
    <w:name w:val="Strong1"/>
    <w:qFormat/>
    <w:rsid w:val="00C8526F"/>
    <w:rPr>
      <w:b/>
      <w:bCs/>
    </w:rPr>
  </w:style>
  <w:style w:type="paragraph" w:styleId="NoSpacing">
    <w:name w:val="No Spacing"/>
    <w:uiPriority w:val="1"/>
    <w:qFormat/>
    <w:rsid w:val="00C8526F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rsid w:val="00C8526F"/>
    <w:pPr>
      <w:spacing w:before="120" w:after="120"/>
      <w:ind w:left="720"/>
    </w:pPr>
    <w:rPr>
      <w:rFonts w:ascii="Verdana" w:hAnsi="Verdana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C8526F"/>
    <w:rPr>
      <w:rFonts w:ascii="Verdana" w:eastAsia="Times New Roman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2019-01-28T00:00:00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0A9EF63-BA53-443E-9F13-BE60A9C3E9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273B3A-7B4A-4F7C-8605-683BD53B6D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F4C7C9-672E-4F76-A2C5-237599E89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805924E-8B98-4E08-ACC4-43884D7A1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1827</Words>
  <Characters>10414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SCE17CC014</vt:lpstr>
    </vt:vector>
  </TitlesOfParts>
  <LinksUpToDate>false</LinksUpToDate>
  <CharactersWithSpaces>12217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SCE17CC014</dc:title>
  <dc:creator/>
  <cp:lastModifiedBy/>
  <cp:revision>1</cp:revision>
  <dcterms:created xsi:type="dcterms:W3CDTF">2019-01-28T17:15:00Z</dcterms:created>
  <dcterms:modified xsi:type="dcterms:W3CDTF">2019-03-04T22:41:00Z</dcterms:modified>
  <cp:contentStatus>Revision 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